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B2766" w14:textId="3A58C0FB" w:rsidR="00A658BB" w:rsidRPr="00A31114" w:rsidRDefault="00A658BB" w:rsidP="00B40C58">
      <w:pPr>
        <w:tabs>
          <w:tab w:val="left" w:pos="709"/>
          <w:tab w:val="left" w:pos="851"/>
          <w:tab w:val="left" w:pos="993"/>
        </w:tabs>
        <w:spacing w:after="0" w:line="360" w:lineRule="auto"/>
        <w:ind w:firstLine="567"/>
        <w:jc w:val="center"/>
        <w:rPr>
          <w:rFonts w:ascii="GHEA Grapalat" w:eastAsia="Times New Roman" w:hAnsi="GHEA Grapalat" w:cs="Calibri"/>
          <w:b/>
          <w:color w:val="000000"/>
          <w:sz w:val="24"/>
          <w:szCs w:val="24"/>
          <w:lang w:val="hy-AM" w:eastAsia="ru-RU"/>
        </w:rPr>
      </w:pPr>
      <w:bookmarkStart w:id="0" w:name="_Hlk233020205"/>
      <w:r w:rsidRPr="00A31114">
        <w:rPr>
          <w:rFonts w:ascii="GHEA Grapalat" w:eastAsia="Times New Roman" w:hAnsi="GHEA Grapalat" w:cs="Calibri"/>
          <w:b/>
          <w:color w:val="000000"/>
          <w:sz w:val="24"/>
          <w:szCs w:val="24"/>
          <w:lang w:val="hy-AM" w:eastAsia="ru-RU"/>
        </w:rPr>
        <w:t>ՀԻՄՆԱՎՈՐՈՒՄ</w:t>
      </w:r>
    </w:p>
    <w:p w14:paraId="73B4F589" w14:textId="77777777" w:rsidR="007C2F93" w:rsidRPr="00A31114" w:rsidRDefault="007C2F93" w:rsidP="00B40C58">
      <w:pPr>
        <w:tabs>
          <w:tab w:val="left" w:pos="709"/>
          <w:tab w:val="left" w:pos="851"/>
          <w:tab w:val="left" w:pos="993"/>
        </w:tabs>
        <w:spacing w:after="0" w:line="360" w:lineRule="auto"/>
        <w:ind w:firstLine="567"/>
        <w:jc w:val="center"/>
        <w:rPr>
          <w:rFonts w:ascii="GHEA Grapalat" w:eastAsia="Times New Roman" w:hAnsi="GHEA Grapalat" w:cs="Calibri"/>
          <w:b/>
          <w:color w:val="000000"/>
          <w:sz w:val="21"/>
          <w:szCs w:val="21"/>
          <w:lang w:val="hy-AM" w:eastAsia="ru-RU"/>
        </w:rPr>
      </w:pPr>
    </w:p>
    <w:p w14:paraId="5F01BF73" w14:textId="72F885F4" w:rsidR="00B171CF" w:rsidRPr="00A31114" w:rsidRDefault="00A51552" w:rsidP="009C47FA">
      <w:pPr>
        <w:spacing w:after="0" w:line="360" w:lineRule="auto"/>
        <w:ind w:firstLine="567"/>
        <w:jc w:val="center"/>
        <w:rPr>
          <w:rFonts w:ascii="GHEA Grapalat" w:hAnsi="GHEA Grapalat" w:cs="Sylfaen"/>
          <w:b/>
          <w:sz w:val="24"/>
          <w:szCs w:val="24"/>
          <w:lang w:val="hy-AM"/>
        </w:rPr>
      </w:pPr>
      <w:bookmarkStart w:id="1" w:name="_Hlk230170297"/>
      <w:bookmarkStart w:id="2" w:name="_Hlk233019513"/>
      <w:r w:rsidRPr="00A31114">
        <w:rPr>
          <w:rFonts w:ascii="GHEA Grapalat" w:eastAsia="GHEA Grapalat" w:hAnsi="GHEA Grapalat" w:cs="GHEA Grapalat"/>
          <w:b/>
          <w:sz w:val="24"/>
          <w:szCs w:val="24"/>
          <w:lang w:val="hy-AM"/>
        </w:rPr>
        <w:t xml:space="preserve">«ՀԱՅԱՍՏԱՆԻ ԷԼԵԿՏՐԱԿԱՆ ՑԱՆՑԵՐ» ՓԱԿ ԲԱԺՆԵՏԻՐԱԿԱՆ ԸՆԿԵՐՈՒԹՅԱՆ 100% ԲԱԺՆԵՏՈՄՍԵՐԻ (ԲԱԺՆԵՄԱՍԻ) ՆԿԱՏՄԱՄԲ ՀԱՆՐՈՒԹՅԱՆ ԳԵՐԱԿԱ ՇԱՀ ՃԱՆԱՉԵԼՈՒ </w:t>
      </w:r>
      <w:bookmarkEnd w:id="1"/>
      <w:r w:rsidRPr="00A31114">
        <w:rPr>
          <w:rFonts w:ascii="GHEA Grapalat" w:eastAsia="GHEA Grapalat" w:hAnsi="GHEA Grapalat" w:cs="GHEA Grapalat"/>
          <w:b/>
          <w:sz w:val="24"/>
          <w:szCs w:val="24"/>
          <w:lang w:val="hy-AM"/>
        </w:rPr>
        <w:t>ՄԱՍԻՆ</w:t>
      </w:r>
      <w:r w:rsidR="00B725A3" w:rsidRPr="00A31114">
        <w:rPr>
          <w:rFonts w:ascii="GHEA Grapalat" w:eastAsia="GHEA Grapalat" w:hAnsi="GHEA Grapalat" w:cs="GHEA Grapalat"/>
          <w:b/>
          <w:sz w:val="24"/>
          <w:szCs w:val="24"/>
          <w:lang w:val="hy-AM"/>
        </w:rPr>
        <w:t xml:space="preserve"> </w:t>
      </w:r>
      <w:bookmarkEnd w:id="2"/>
      <w:r w:rsidR="00014D22" w:rsidRPr="00A31114">
        <w:rPr>
          <w:rFonts w:ascii="GHEA Grapalat" w:hAnsi="GHEA Grapalat"/>
          <w:b/>
          <w:sz w:val="24"/>
          <w:szCs w:val="24"/>
          <w:lang w:val="hy-AM"/>
        </w:rPr>
        <w:t>ԿԱՌԱՎԱՐՈՒԹՅԱՆ ՈՐՈՇՄԱՆ</w:t>
      </w:r>
      <w:r w:rsidR="00B171CF" w:rsidRPr="00A31114">
        <w:rPr>
          <w:rFonts w:ascii="GHEA Grapalat" w:hAnsi="GHEA Grapalat" w:cs="Sylfaen"/>
          <w:b/>
          <w:sz w:val="24"/>
          <w:szCs w:val="24"/>
          <w:lang w:val="hy-AM"/>
        </w:rPr>
        <w:t xml:space="preserve"> ԸՆԴՈՒՆՄԱՆ</w:t>
      </w:r>
    </w:p>
    <w:p w14:paraId="530042F0" w14:textId="77777777" w:rsidR="00B171CF" w:rsidRPr="00A31114" w:rsidRDefault="00B171CF" w:rsidP="00B40C58">
      <w:pPr>
        <w:tabs>
          <w:tab w:val="left" w:pos="709"/>
          <w:tab w:val="left" w:pos="851"/>
          <w:tab w:val="left" w:pos="993"/>
        </w:tabs>
        <w:spacing w:after="0" w:line="360" w:lineRule="auto"/>
        <w:ind w:firstLine="567"/>
        <w:jc w:val="center"/>
        <w:rPr>
          <w:rFonts w:ascii="GHEA Grapalat" w:hAnsi="GHEA Grapalat" w:cs="Sylfaen"/>
          <w:b/>
          <w:sz w:val="24"/>
          <w:szCs w:val="24"/>
          <w:lang w:val="hy-AM"/>
        </w:rPr>
      </w:pPr>
    </w:p>
    <w:p w14:paraId="56179871" w14:textId="3D103B2B" w:rsidR="00A658BB" w:rsidRPr="00A31114" w:rsidRDefault="00A658BB" w:rsidP="00B40C58">
      <w:pPr>
        <w:numPr>
          <w:ilvl w:val="0"/>
          <w:numId w:val="1"/>
        </w:numPr>
        <w:pBdr>
          <w:top w:val="nil"/>
          <w:left w:val="nil"/>
          <w:bottom w:val="nil"/>
          <w:right w:val="nil"/>
          <w:between w:val="nil"/>
        </w:pBdr>
        <w:tabs>
          <w:tab w:val="left" w:pos="709"/>
          <w:tab w:val="left" w:pos="851"/>
          <w:tab w:val="left" w:pos="993"/>
        </w:tabs>
        <w:spacing w:after="0" w:line="360" w:lineRule="auto"/>
        <w:ind w:left="0" w:firstLine="567"/>
        <w:jc w:val="both"/>
        <w:rPr>
          <w:rFonts w:ascii="GHEA Grapalat" w:eastAsia="Times New Roman" w:hAnsi="GHEA Grapalat" w:cs="Calibri"/>
          <w:b/>
          <w:color w:val="000000"/>
          <w:sz w:val="24"/>
          <w:szCs w:val="24"/>
          <w:lang w:val="hy-AM" w:eastAsia="ru-RU"/>
        </w:rPr>
      </w:pPr>
      <w:r w:rsidRPr="00A31114">
        <w:rPr>
          <w:rFonts w:ascii="GHEA Grapalat" w:eastAsia="Times New Roman" w:hAnsi="GHEA Grapalat" w:cs="Calibri"/>
          <w:b/>
          <w:color w:val="000000"/>
          <w:sz w:val="24"/>
          <w:szCs w:val="24"/>
          <w:lang w:val="hy-AM" w:eastAsia="ru-RU"/>
        </w:rPr>
        <w:t>Ընթացիկ իրավիճակը և իրավական ակտի ընդունման անհրաժեշտությունը.</w:t>
      </w:r>
    </w:p>
    <w:p w14:paraId="448AD59A" w14:textId="77777777" w:rsidR="00A51552" w:rsidRPr="00A31114" w:rsidRDefault="00A51552"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eastAsia="Times New Roman" w:hAnsi="GHEA Grapalat" w:cs="Calibri"/>
          <w:bCs/>
          <w:color w:val="000000"/>
          <w:sz w:val="24"/>
          <w:szCs w:val="24"/>
          <w:lang w:val="hy-AM" w:eastAsia="ru-RU"/>
        </w:rPr>
      </w:pPr>
      <w:r w:rsidRPr="00A31114">
        <w:rPr>
          <w:rFonts w:ascii="GHEA Grapalat" w:eastAsia="Times New Roman" w:hAnsi="GHEA Grapalat" w:cs="Calibri"/>
          <w:bCs/>
          <w:color w:val="000000"/>
          <w:sz w:val="24"/>
          <w:szCs w:val="24"/>
          <w:lang w:val="hy-AM" w:eastAsia="ru-RU"/>
        </w:rPr>
        <w:t>Էլեկտրաէներգիայի բաշխումը կենսական հանրային ծառայություն է</w:t>
      </w:r>
    </w:p>
    <w:p w14:paraId="1D315FDF" w14:textId="3C2BF0D0" w:rsidR="00A51552" w:rsidRPr="00A31114" w:rsidRDefault="00D27677"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eastAsia="Times New Roman" w:hAnsi="GHEA Grapalat" w:cs="Calibri"/>
          <w:bCs/>
          <w:color w:val="000000"/>
          <w:sz w:val="24"/>
          <w:szCs w:val="24"/>
          <w:lang w:val="hy-AM" w:eastAsia="ru-RU"/>
        </w:rPr>
      </w:pPr>
      <w:r w:rsidRPr="00D27677">
        <w:rPr>
          <w:rFonts w:ascii="GHEA Grapalat" w:eastAsia="GHEA Grapalat" w:hAnsi="GHEA Grapalat" w:cs="GHEA Grapalat"/>
          <w:bCs/>
          <w:sz w:val="24"/>
          <w:szCs w:val="24"/>
          <w:lang w:val="hy-AM"/>
        </w:rPr>
        <w:t>«</w:t>
      </w:r>
      <w:r w:rsidR="0076750C">
        <w:rPr>
          <w:rFonts w:ascii="GHEA Grapalat" w:eastAsia="GHEA Grapalat" w:hAnsi="GHEA Grapalat" w:cs="GHEA Grapalat"/>
          <w:bCs/>
          <w:sz w:val="24"/>
          <w:szCs w:val="24"/>
          <w:lang w:val="hy-AM"/>
        </w:rPr>
        <w:t>Հ</w:t>
      </w:r>
      <w:r w:rsidRPr="00D27677">
        <w:rPr>
          <w:rFonts w:ascii="GHEA Grapalat" w:eastAsia="GHEA Grapalat" w:hAnsi="GHEA Grapalat" w:cs="GHEA Grapalat"/>
          <w:bCs/>
          <w:sz w:val="24"/>
          <w:szCs w:val="24"/>
          <w:lang w:val="hy-AM"/>
        </w:rPr>
        <w:t>այաստանի էլեկտրական ցանցեր» փակ բաժնետիրական ընկերությ</w:t>
      </w:r>
      <w:r>
        <w:rPr>
          <w:rFonts w:ascii="GHEA Grapalat" w:eastAsia="GHEA Grapalat" w:hAnsi="GHEA Grapalat" w:cs="GHEA Grapalat"/>
          <w:bCs/>
          <w:sz w:val="24"/>
          <w:szCs w:val="24"/>
          <w:lang w:val="hy-AM"/>
        </w:rPr>
        <w:t>ունը</w:t>
      </w:r>
      <w:r w:rsidR="00E01409">
        <w:rPr>
          <w:rFonts w:ascii="GHEA Grapalat" w:eastAsia="GHEA Grapalat" w:hAnsi="GHEA Grapalat" w:cs="GHEA Grapalat"/>
          <w:bCs/>
          <w:sz w:val="24"/>
          <w:szCs w:val="24"/>
          <w:lang w:val="hy-AM"/>
        </w:rPr>
        <w:t xml:space="preserve"> </w:t>
      </w:r>
      <w:r w:rsidRPr="00D27677">
        <w:rPr>
          <w:rFonts w:ascii="GHEA Grapalat" w:eastAsia="GHEA Grapalat" w:hAnsi="GHEA Grapalat" w:cs="GHEA Grapalat"/>
          <w:bCs/>
          <w:sz w:val="24"/>
          <w:szCs w:val="24"/>
          <w:lang w:val="hy-AM"/>
        </w:rPr>
        <w:t>(</w:t>
      </w:r>
      <w:r w:rsidR="009C778C">
        <w:rPr>
          <w:rFonts w:ascii="GHEA Grapalat" w:eastAsia="GHEA Grapalat" w:hAnsi="GHEA Grapalat" w:cs="GHEA Grapalat"/>
          <w:bCs/>
          <w:sz w:val="24"/>
          <w:szCs w:val="24"/>
          <w:lang w:val="hy-AM"/>
        </w:rPr>
        <w:t>այսուհետ՝ ՀԷՑ</w:t>
      </w:r>
      <w:r w:rsidRPr="00D27677">
        <w:rPr>
          <w:rFonts w:ascii="GHEA Grapalat" w:eastAsia="GHEA Grapalat" w:hAnsi="GHEA Grapalat" w:cs="GHEA Grapalat"/>
          <w:bCs/>
          <w:sz w:val="24"/>
          <w:szCs w:val="24"/>
          <w:lang w:val="hy-AM"/>
        </w:rPr>
        <w:t>)</w:t>
      </w:r>
      <w:r w:rsidRPr="00A31114">
        <w:rPr>
          <w:rFonts w:ascii="GHEA Grapalat" w:eastAsia="GHEA Grapalat" w:hAnsi="GHEA Grapalat" w:cs="GHEA Grapalat"/>
          <w:b/>
          <w:sz w:val="24"/>
          <w:szCs w:val="24"/>
          <w:lang w:val="hy-AM"/>
        </w:rPr>
        <w:t xml:space="preserve"> </w:t>
      </w:r>
      <w:r w:rsidR="00A51552" w:rsidRPr="00A31114">
        <w:rPr>
          <w:rFonts w:ascii="GHEA Grapalat" w:eastAsia="Times New Roman" w:hAnsi="GHEA Grapalat" w:cs="Calibri"/>
          <w:bCs/>
          <w:color w:val="000000"/>
          <w:sz w:val="24"/>
          <w:szCs w:val="24"/>
          <w:lang w:val="hy-AM" w:eastAsia="ru-RU"/>
        </w:rPr>
        <w:t>Հայաստանի ամբողջ տարածքում իրականացնում է էլեկտրաէներգիայի բաշխում՝ ապահովելով բնակչության, հիվանդանոցների, դպրոցների, ջրամատակարարման համակարգերի, կապի և տնտեսության բնականոն աշխատանքը։ Էլեկտրամատակարարման խափանումը անմիջական ազդեցություն ունի ազգային անվտանգության, առողջապահության և հասարակական կայունության վրա։</w:t>
      </w:r>
    </w:p>
    <w:p w14:paraId="39533BC2" w14:textId="1E45B8DF" w:rsidR="00A51552" w:rsidRPr="00A31114" w:rsidRDefault="00A51552"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eastAsia="Times New Roman" w:hAnsi="GHEA Grapalat" w:cs="Calibri"/>
          <w:bCs/>
          <w:color w:val="000000"/>
          <w:sz w:val="24"/>
          <w:szCs w:val="24"/>
          <w:lang w:val="hy-AM" w:eastAsia="ru-RU"/>
        </w:rPr>
      </w:pPr>
      <w:r w:rsidRPr="00A31114">
        <w:rPr>
          <w:rFonts w:ascii="GHEA Grapalat" w:eastAsia="Times New Roman" w:hAnsi="GHEA Grapalat" w:cs="Sylfaen"/>
          <w:bCs/>
          <w:color w:val="000000"/>
          <w:sz w:val="24"/>
          <w:szCs w:val="24"/>
          <w:lang w:val="hy-AM" w:eastAsia="ru-RU"/>
        </w:rPr>
        <w:t>ՀԷՑ</w:t>
      </w:r>
      <w:r w:rsidRPr="00A31114">
        <w:rPr>
          <w:rFonts w:ascii="GHEA Grapalat" w:eastAsia="Times New Roman" w:hAnsi="GHEA Grapalat" w:cs="Calibri"/>
          <w:bCs/>
          <w:color w:val="000000"/>
          <w:sz w:val="24"/>
          <w:szCs w:val="24"/>
          <w:lang w:val="hy-AM" w:eastAsia="ru-RU"/>
        </w:rPr>
        <w:t>-</w:t>
      </w:r>
      <w:r w:rsidRPr="00A31114">
        <w:rPr>
          <w:rFonts w:ascii="GHEA Grapalat" w:eastAsia="Times New Roman" w:hAnsi="GHEA Grapalat" w:cs="Sylfaen"/>
          <w:bCs/>
          <w:color w:val="000000"/>
          <w:sz w:val="24"/>
          <w:szCs w:val="24"/>
          <w:lang w:val="hy-AM" w:eastAsia="ru-RU"/>
        </w:rPr>
        <w:t>ի</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գործունեությունը</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սովորական</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մասնավոր</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գործունեություն</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չէ</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այլ</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հանրային</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նշանակության</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ենթակառուցվածքի</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կառավարում</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որը</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ենթակա</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է</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խիստ</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պետական</w:t>
      </w:r>
      <w:r w:rsidRPr="00A31114">
        <w:rPr>
          <w:rFonts w:ascii="GHEA Grapalat" w:eastAsia="Times New Roman" w:hAnsi="GHEA Grapalat" w:cs="Calibri"/>
          <w:bCs/>
          <w:color w:val="000000"/>
          <w:sz w:val="24"/>
          <w:szCs w:val="24"/>
          <w:lang w:val="hy-AM" w:eastAsia="ru-RU"/>
        </w:rPr>
        <w:t xml:space="preserve"> </w:t>
      </w:r>
      <w:r w:rsidRPr="00A31114">
        <w:rPr>
          <w:rFonts w:ascii="GHEA Grapalat" w:eastAsia="Times New Roman" w:hAnsi="GHEA Grapalat" w:cs="Sylfaen"/>
          <w:bCs/>
          <w:color w:val="000000"/>
          <w:sz w:val="24"/>
          <w:szCs w:val="24"/>
          <w:lang w:val="hy-AM" w:eastAsia="ru-RU"/>
        </w:rPr>
        <w:t>վերահսկողության։</w:t>
      </w:r>
    </w:p>
    <w:p w14:paraId="2A8F17C2" w14:textId="3CE23307" w:rsidR="00A51552" w:rsidRPr="00A31114" w:rsidRDefault="00A51552"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eastAsia="Times New Roman" w:hAnsi="GHEA Grapalat" w:cs="Calibri"/>
          <w:bCs/>
          <w:color w:val="000000"/>
          <w:sz w:val="24"/>
          <w:szCs w:val="24"/>
          <w:lang w:val="hy-AM" w:eastAsia="ru-RU"/>
        </w:rPr>
      </w:pPr>
      <w:r w:rsidRPr="00A31114">
        <w:rPr>
          <w:rFonts w:ascii="GHEA Grapalat" w:eastAsia="Times New Roman" w:hAnsi="GHEA Grapalat" w:cs="Calibri"/>
          <w:bCs/>
          <w:color w:val="000000"/>
          <w:sz w:val="24"/>
          <w:szCs w:val="24"/>
          <w:lang w:val="hy-AM" w:eastAsia="ru-RU"/>
        </w:rPr>
        <w:t>Հ</w:t>
      </w:r>
      <w:r w:rsidR="009C778C">
        <w:rPr>
          <w:rFonts w:ascii="GHEA Grapalat" w:eastAsia="Times New Roman" w:hAnsi="GHEA Grapalat" w:cs="Calibri"/>
          <w:bCs/>
          <w:color w:val="000000"/>
          <w:sz w:val="24"/>
          <w:szCs w:val="24"/>
          <w:lang w:val="hy-AM" w:eastAsia="ru-RU"/>
        </w:rPr>
        <w:t xml:space="preserve">անրային ծառայությունները կարգավորող հանձնաժողովի </w:t>
      </w:r>
      <w:r w:rsidRPr="00A31114">
        <w:rPr>
          <w:rFonts w:ascii="GHEA Grapalat" w:eastAsia="Times New Roman" w:hAnsi="GHEA Grapalat" w:cs="Calibri"/>
          <w:bCs/>
          <w:color w:val="000000"/>
          <w:sz w:val="24"/>
          <w:szCs w:val="24"/>
          <w:lang w:val="hy-AM" w:eastAsia="ru-RU"/>
        </w:rPr>
        <w:t>կողմից լիցենզիայի դադարեցման գործընթացի նախաձեռնությունը ցույց է տալիս, որ պետությունը գնահատել է հնարավոր խախտումները որպես այնպիսիք, որոնք կարող են վնասել հարյուր հազարավոր բաժանորդների շահերը։ Հանրության գերակա շահի սկզբունքը թույլ է տալիս պետությանը միջամտել, երբ վտանգվում է քաղաքացիների անխափան և անվտանգ ծառայություն ստանալու իրավունքը։</w:t>
      </w:r>
    </w:p>
    <w:p w14:paraId="4E8F2D17" w14:textId="77777777" w:rsidR="00A51552" w:rsidRPr="00A31114" w:rsidRDefault="00A51552"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eastAsia="Times New Roman" w:hAnsi="GHEA Grapalat" w:cs="Calibri"/>
          <w:bCs/>
          <w:color w:val="000000"/>
          <w:sz w:val="24"/>
          <w:szCs w:val="24"/>
          <w:lang w:val="hy-AM" w:eastAsia="ru-RU"/>
        </w:rPr>
      </w:pPr>
      <w:r w:rsidRPr="00A31114">
        <w:rPr>
          <w:rFonts w:ascii="GHEA Grapalat" w:eastAsia="Times New Roman" w:hAnsi="GHEA Grapalat" w:cs="Calibri"/>
          <w:bCs/>
          <w:color w:val="000000"/>
          <w:sz w:val="24"/>
          <w:szCs w:val="24"/>
          <w:lang w:val="hy-AM" w:eastAsia="ru-RU"/>
        </w:rPr>
        <w:t>Էլեկտրաէներգիայի բաշխիչ ցանցերը ռազմավարական ենթակառուցվածք են։ Դրանց աշխատանքից կախված են ոչ միայն կենցաղային պայմանները, այլև արդյունաբերությունը, պետական կառույցները, տրանսպորտը և կապի համակարգերը։ Նման ոլորտներում պետության վերահսկողության ուժեղացումը հաճախ հիմնավորվում է հանրային անվտանգության և կայունության նկատառումներով։</w:t>
      </w:r>
    </w:p>
    <w:p w14:paraId="522492BD" w14:textId="77777777" w:rsidR="00A51552" w:rsidRPr="00A31114" w:rsidRDefault="00A51552"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eastAsia="Times New Roman" w:hAnsi="GHEA Grapalat" w:cs="Calibri"/>
          <w:bCs/>
          <w:color w:val="000000"/>
          <w:sz w:val="24"/>
          <w:szCs w:val="24"/>
          <w:lang w:val="hy-AM" w:eastAsia="ru-RU"/>
        </w:rPr>
      </w:pPr>
      <w:r w:rsidRPr="00A31114">
        <w:rPr>
          <w:rFonts w:ascii="GHEA Grapalat" w:eastAsia="Times New Roman" w:hAnsi="GHEA Grapalat" w:cs="Calibri"/>
          <w:bCs/>
          <w:color w:val="000000"/>
          <w:sz w:val="24"/>
          <w:szCs w:val="24"/>
          <w:lang w:val="hy-AM" w:eastAsia="ru-RU"/>
        </w:rPr>
        <w:lastRenderedPageBreak/>
        <w:t>Հայաստանի Հանրապետության օրենսդրությամբ սեփականության իրավունքը կարող է սահմանափակվել հանրության գերակա շահի նպատակով՝ օրենքով սահմանված դեպքերում և համաչափության սկզբունքով։ Եթե պետական մարմինը հիմնավորում է, որ էլեկտրաէներգիայի բաշխման ոլորտում առկա խնդիրները վտանգում են հանրային շահը, ապա միջամտությունը կարող է իրավաչափ համարվել։</w:t>
      </w:r>
    </w:p>
    <w:p w14:paraId="1302186E" w14:textId="03B8ABAF" w:rsidR="003B7A7C" w:rsidRPr="00A31114" w:rsidRDefault="00A51552" w:rsidP="00A51552">
      <w:pPr>
        <w:pBdr>
          <w:top w:val="nil"/>
          <w:left w:val="nil"/>
          <w:bottom w:val="nil"/>
          <w:right w:val="nil"/>
          <w:between w:val="nil"/>
        </w:pBdr>
        <w:tabs>
          <w:tab w:val="left" w:pos="709"/>
          <w:tab w:val="left" w:pos="851"/>
          <w:tab w:val="left" w:pos="993"/>
        </w:tabs>
        <w:spacing w:after="0" w:line="360" w:lineRule="auto"/>
        <w:ind w:firstLine="567"/>
        <w:jc w:val="both"/>
        <w:rPr>
          <w:rFonts w:ascii="GHEA Grapalat" w:eastAsia="Times New Roman" w:hAnsi="GHEA Grapalat" w:cs="Calibri"/>
          <w:bCs/>
          <w:color w:val="000000"/>
          <w:sz w:val="24"/>
          <w:szCs w:val="24"/>
          <w:lang w:val="hy-AM" w:eastAsia="ru-RU"/>
        </w:rPr>
      </w:pPr>
      <w:r w:rsidRPr="00A31114">
        <w:rPr>
          <w:rFonts w:ascii="GHEA Grapalat" w:eastAsia="Times New Roman" w:hAnsi="GHEA Grapalat" w:cs="Calibri"/>
          <w:bCs/>
          <w:color w:val="000000"/>
          <w:sz w:val="24"/>
          <w:szCs w:val="24"/>
          <w:lang w:val="hy-AM" w:eastAsia="ru-RU"/>
        </w:rPr>
        <w:t>Էլեկտրաէներգիայի մատակարարումը չի կարող դադարել նույնիսկ կառավարման ճգնաժամի դեպքում։ Հետևաբար պետությունը պարտավոր է առաջնահերթ ապահովել համակարգի անխափան աշխատանքը՝ անկախ մասնավոր ընկերության վիճակից կամ սեփականատիրոջ փոփոխությունից։</w:t>
      </w:r>
    </w:p>
    <w:p w14:paraId="50B0D1C8" w14:textId="77777777" w:rsidR="00583786" w:rsidRPr="00A31114" w:rsidRDefault="00583786" w:rsidP="00B40C58">
      <w:pPr>
        <w:numPr>
          <w:ilvl w:val="0"/>
          <w:numId w:val="1"/>
        </w:numPr>
        <w:pBdr>
          <w:top w:val="nil"/>
          <w:left w:val="nil"/>
          <w:bottom w:val="nil"/>
          <w:right w:val="nil"/>
          <w:between w:val="nil"/>
        </w:pBdr>
        <w:tabs>
          <w:tab w:val="left" w:pos="709"/>
          <w:tab w:val="left" w:pos="851"/>
          <w:tab w:val="left" w:pos="993"/>
        </w:tabs>
        <w:spacing w:after="0" w:line="360" w:lineRule="auto"/>
        <w:ind w:left="0" w:firstLine="567"/>
        <w:jc w:val="both"/>
        <w:rPr>
          <w:rFonts w:ascii="GHEA Grapalat" w:eastAsia="Times New Roman" w:hAnsi="GHEA Grapalat" w:cs="Calibri"/>
          <w:b/>
          <w:color w:val="000000"/>
          <w:sz w:val="24"/>
          <w:szCs w:val="24"/>
          <w:lang w:val="hy-AM" w:eastAsia="ru-RU"/>
        </w:rPr>
      </w:pPr>
      <w:r w:rsidRPr="00A31114">
        <w:rPr>
          <w:rFonts w:ascii="GHEA Grapalat" w:eastAsia="Times New Roman" w:hAnsi="GHEA Grapalat" w:cs="Calibri"/>
          <w:b/>
          <w:color w:val="000000"/>
          <w:sz w:val="24"/>
          <w:szCs w:val="24"/>
          <w:lang w:val="hy-AM" w:eastAsia="ru-RU"/>
        </w:rPr>
        <w:t>Առաջարկվող կարգավորման բնույթը</w:t>
      </w:r>
    </w:p>
    <w:p w14:paraId="51A64014" w14:textId="23073490" w:rsidR="004338EE" w:rsidRPr="00A31114" w:rsidRDefault="004338EE" w:rsidP="004338EE">
      <w:pPr>
        <w:tabs>
          <w:tab w:val="left" w:pos="709"/>
          <w:tab w:val="left" w:pos="851"/>
          <w:tab w:val="left" w:pos="993"/>
        </w:tabs>
        <w:spacing w:after="0" w:line="360" w:lineRule="auto"/>
        <w:ind w:firstLine="567"/>
        <w:jc w:val="both"/>
        <w:rPr>
          <w:rFonts w:ascii="GHEA Grapalat" w:hAnsi="GHEA Grapalat" w:cs="Calibri"/>
          <w:sz w:val="24"/>
          <w:szCs w:val="24"/>
          <w:lang w:val="hy-AM"/>
        </w:rPr>
      </w:pPr>
      <w:r w:rsidRPr="00A31114">
        <w:rPr>
          <w:rFonts w:ascii="GHEA Grapalat" w:hAnsi="GHEA Grapalat" w:cs="Calibri"/>
          <w:sz w:val="24"/>
          <w:szCs w:val="24"/>
          <w:lang w:val="hy-AM"/>
        </w:rPr>
        <w:t>ՀՀ Սահմանադրության, «Էներգետիկայի մասին» ՀՀ օրենքի, ինչպես նաև հանրային ծառայությունների կարգավորման ոլորտը կարգավորող իրավական ակտերի համակարգային վերլուծությունից բխում է, որ էլեկտրաէներգիայի բաշխման ոլորտը հանդիսանում է բնական մենաշնորհի բնագավառ և ենթակա է պետական հատուկ վերահսկողության՝ սպառողների իրավունքների, էներգետիկ անվտանգության և ծառայությունների անընդհատության ապահովման նպատակով։</w:t>
      </w:r>
    </w:p>
    <w:p w14:paraId="618F00F7" w14:textId="66783DFF" w:rsidR="004338EE" w:rsidRPr="00A31114" w:rsidRDefault="004338EE" w:rsidP="004338EE">
      <w:pPr>
        <w:tabs>
          <w:tab w:val="left" w:pos="709"/>
          <w:tab w:val="left" w:pos="851"/>
          <w:tab w:val="left" w:pos="993"/>
        </w:tabs>
        <w:spacing w:after="0" w:line="360" w:lineRule="auto"/>
        <w:ind w:firstLine="567"/>
        <w:jc w:val="both"/>
        <w:rPr>
          <w:rFonts w:ascii="GHEA Grapalat" w:hAnsi="GHEA Grapalat" w:cs="Calibri"/>
          <w:sz w:val="24"/>
          <w:szCs w:val="24"/>
          <w:lang w:val="hy-AM"/>
        </w:rPr>
      </w:pPr>
      <w:r w:rsidRPr="00A31114">
        <w:rPr>
          <w:rFonts w:ascii="GHEA Grapalat" w:hAnsi="GHEA Grapalat" w:cs="Calibri"/>
          <w:sz w:val="24"/>
          <w:szCs w:val="24"/>
          <w:lang w:val="hy-AM"/>
        </w:rPr>
        <w:t>Հանրային ծառայությունները կարգավորող հանձնաժողովի կողմից ՀԷՑ-ի լիցենզիայի դադարեցման գործընթացի նախաձեռնումը փաստում է, որ իրավասու պետական մարմինը արձանագրել է այնպիսի հնարավոր խախտումներ կամ ռիսկեր, որոնք կարող են վտանգել հանրային շահը, այդ թվում՝</w:t>
      </w:r>
    </w:p>
    <w:p w14:paraId="4624DE78" w14:textId="3436EA36" w:rsidR="004338EE" w:rsidRPr="00A31114" w:rsidRDefault="004338EE" w:rsidP="004338EE">
      <w:pPr>
        <w:tabs>
          <w:tab w:val="left" w:pos="709"/>
          <w:tab w:val="left" w:pos="851"/>
          <w:tab w:val="left" w:pos="993"/>
        </w:tabs>
        <w:spacing w:after="0" w:line="360" w:lineRule="auto"/>
        <w:ind w:firstLine="567"/>
        <w:jc w:val="both"/>
        <w:rPr>
          <w:rFonts w:ascii="GHEA Grapalat" w:hAnsi="GHEA Grapalat" w:cs="Calibri"/>
          <w:sz w:val="24"/>
          <w:szCs w:val="24"/>
          <w:lang w:val="hy-AM"/>
        </w:rPr>
      </w:pPr>
      <w:r w:rsidRPr="00A31114">
        <w:rPr>
          <w:rFonts w:ascii="GHEA Grapalat" w:hAnsi="GHEA Grapalat" w:cs="Calibri"/>
          <w:sz w:val="24"/>
          <w:szCs w:val="24"/>
          <w:lang w:val="hy-AM"/>
        </w:rPr>
        <w:t>բնակչության անխափան էլեկտրամատակարարումը,</w:t>
      </w:r>
    </w:p>
    <w:p w14:paraId="0F777A2A" w14:textId="77777777" w:rsidR="004338EE" w:rsidRPr="00A31114" w:rsidRDefault="004338EE" w:rsidP="004338EE">
      <w:pPr>
        <w:tabs>
          <w:tab w:val="left" w:pos="709"/>
          <w:tab w:val="left" w:pos="851"/>
          <w:tab w:val="left" w:pos="993"/>
        </w:tabs>
        <w:spacing w:after="0" w:line="360" w:lineRule="auto"/>
        <w:ind w:firstLine="567"/>
        <w:jc w:val="both"/>
        <w:rPr>
          <w:rFonts w:ascii="GHEA Grapalat" w:hAnsi="GHEA Grapalat" w:cs="Calibri"/>
          <w:sz w:val="24"/>
          <w:szCs w:val="24"/>
          <w:lang w:val="hy-AM"/>
        </w:rPr>
      </w:pPr>
      <w:r w:rsidRPr="00A31114">
        <w:rPr>
          <w:rFonts w:ascii="GHEA Grapalat" w:hAnsi="GHEA Grapalat" w:cs="Calibri"/>
          <w:sz w:val="24"/>
          <w:szCs w:val="24"/>
          <w:lang w:val="hy-AM"/>
        </w:rPr>
        <w:t>սոցիալական և ռազմավարական օբյեկտների բնականոն գործունեությունը,</w:t>
      </w:r>
    </w:p>
    <w:p w14:paraId="75964531" w14:textId="77777777" w:rsidR="004338EE" w:rsidRPr="00A31114" w:rsidRDefault="004338EE" w:rsidP="004338EE">
      <w:pPr>
        <w:tabs>
          <w:tab w:val="left" w:pos="709"/>
          <w:tab w:val="left" w:pos="851"/>
          <w:tab w:val="left" w:pos="993"/>
        </w:tabs>
        <w:spacing w:after="0" w:line="360" w:lineRule="auto"/>
        <w:ind w:firstLine="567"/>
        <w:jc w:val="both"/>
        <w:rPr>
          <w:rFonts w:ascii="GHEA Grapalat" w:hAnsi="GHEA Grapalat" w:cs="Calibri"/>
          <w:sz w:val="24"/>
          <w:szCs w:val="24"/>
          <w:lang w:val="hy-AM"/>
        </w:rPr>
      </w:pPr>
      <w:r w:rsidRPr="00A31114">
        <w:rPr>
          <w:rFonts w:ascii="GHEA Grapalat" w:hAnsi="GHEA Grapalat" w:cs="Calibri"/>
          <w:sz w:val="24"/>
          <w:szCs w:val="24"/>
          <w:lang w:val="hy-AM"/>
        </w:rPr>
        <w:t>էներգետիկ համակարգի կայունությունը,</w:t>
      </w:r>
    </w:p>
    <w:p w14:paraId="20E961E3" w14:textId="77777777" w:rsidR="004338EE" w:rsidRPr="00A31114" w:rsidRDefault="004338EE" w:rsidP="004338EE">
      <w:pPr>
        <w:tabs>
          <w:tab w:val="left" w:pos="709"/>
          <w:tab w:val="left" w:pos="851"/>
          <w:tab w:val="left" w:pos="993"/>
        </w:tabs>
        <w:spacing w:after="0" w:line="360" w:lineRule="auto"/>
        <w:ind w:firstLine="567"/>
        <w:jc w:val="both"/>
        <w:rPr>
          <w:rFonts w:ascii="GHEA Grapalat" w:hAnsi="GHEA Grapalat" w:cs="Calibri"/>
          <w:sz w:val="24"/>
          <w:szCs w:val="24"/>
          <w:lang w:val="hy-AM"/>
        </w:rPr>
      </w:pPr>
      <w:r w:rsidRPr="00A31114">
        <w:rPr>
          <w:rFonts w:ascii="GHEA Grapalat" w:hAnsi="GHEA Grapalat" w:cs="Calibri"/>
          <w:sz w:val="24"/>
          <w:szCs w:val="24"/>
          <w:lang w:val="hy-AM"/>
        </w:rPr>
        <w:t>սպառողների իրավունքների պաշտպանությունը։</w:t>
      </w:r>
    </w:p>
    <w:p w14:paraId="345D0952" w14:textId="77777777" w:rsidR="004338EE" w:rsidRPr="00A31114" w:rsidRDefault="004338EE" w:rsidP="004338EE">
      <w:pPr>
        <w:tabs>
          <w:tab w:val="left" w:pos="709"/>
          <w:tab w:val="left" w:pos="851"/>
          <w:tab w:val="left" w:pos="993"/>
        </w:tabs>
        <w:spacing w:after="0" w:line="360" w:lineRule="auto"/>
        <w:ind w:firstLine="567"/>
        <w:jc w:val="both"/>
        <w:rPr>
          <w:rFonts w:ascii="GHEA Grapalat" w:hAnsi="GHEA Grapalat" w:cs="Calibri"/>
          <w:sz w:val="24"/>
          <w:szCs w:val="24"/>
          <w:lang w:val="hy-AM"/>
        </w:rPr>
      </w:pPr>
      <w:bookmarkStart w:id="3" w:name="_Hlk230170262"/>
      <w:r w:rsidRPr="00A31114">
        <w:rPr>
          <w:rFonts w:ascii="GHEA Grapalat" w:hAnsi="GHEA Grapalat" w:cs="Calibri"/>
          <w:sz w:val="24"/>
          <w:szCs w:val="24"/>
          <w:lang w:val="hy-AM"/>
        </w:rPr>
        <w:t xml:space="preserve">Էլեկտրաէներգիայի բաշխիչ ցանցերը, իրենց բնույթով, հանդիսանում են ռազմավարական ենթակառուցվածք, որի գործունեության խափանումը կարող է առաջացնել լայնածավալ սոցիալական, տնտեսական և անվտանգային հետևանքներ։ Հետևաբար </w:t>
      </w:r>
      <w:r w:rsidRPr="00A31114">
        <w:rPr>
          <w:rFonts w:ascii="GHEA Grapalat" w:hAnsi="GHEA Grapalat" w:cs="Calibri"/>
          <w:sz w:val="24"/>
          <w:szCs w:val="24"/>
          <w:lang w:val="hy-AM"/>
        </w:rPr>
        <w:lastRenderedPageBreak/>
        <w:t>պետությունն ունի ոչ միայն իրավունք, այլև սահմանադրաիրավական պարտականություն՝ միջամտելու այն դեպքերում, երբ առկա է հանրային շահի պաշտպանության անհրաժեշտություն։</w:t>
      </w:r>
    </w:p>
    <w:bookmarkEnd w:id="3"/>
    <w:p w14:paraId="703B700B" w14:textId="77777777" w:rsidR="004338EE" w:rsidRPr="00A31114" w:rsidRDefault="004338EE" w:rsidP="004338EE">
      <w:pPr>
        <w:tabs>
          <w:tab w:val="left" w:pos="709"/>
          <w:tab w:val="left" w:pos="851"/>
          <w:tab w:val="left" w:pos="993"/>
        </w:tabs>
        <w:spacing w:after="0" w:line="360" w:lineRule="auto"/>
        <w:ind w:firstLine="567"/>
        <w:jc w:val="both"/>
        <w:rPr>
          <w:rFonts w:ascii="GHEA Grapalat" w:hAnsi="GHEA Grapalat" w:cs="Calibri"/>
          <w:sz w:val="24"/>
          <w:szCs w:val="24"/>
          <w:lang w:val="hy-AM"/>
        </w:rPr>
      </w:pPr>
    </w:p>
    <w:p w14:paraId="33464D5C" w14:textId="77777777" w:rsidR="004338EE" w:rsidRPr="00A31114" w:rsidRDefault="004338EE" w:rsidP="004338EE">
      <w:pPr>
        <w:tabs>
          <w:tab w:val="left" w:pos="709"/>
          <w:tab w:val="left" w:pos="851"/>
          <w:tab w:val="left" w:pos="993"/>
        </w:tabs>
        <w:spacing w:after="0" w:line="360" w:lineRule="auto"/>
        <w:ind w:firstLine="567"/>
        <w:jc w:val="both"/>
        <w:rPr>
          <w:rFonts w:ascii="GHEA Grapalat" w:hAnsi="GHEA Grapalat" w:cs="Calibri"/>
          <w:sz w:val="24"/>
          <w:szCs w:val="24"/>
          <w:lang w:val="hy-AM"/>
        </w:rPr>
      </w:pPr>
      <w:r w:rsidRPr="00A31114">
        <w:rPr>
          <w:rFonts w:ascii="GHEA Grapalat" w:hAnsi="GHEA Grapalat" w:cs="Calibri"/>
          <w:sz w:val="24"/>
          <w:szCs w:val="24"/>
          <w:lang w:val="hy-AM"/>
        </w:rPr>
        <w:t>ՀՀ Սահմանադրության համաձայն՝ սեփականության իրավունքը բացարձակ չէ և կարող է սահմանափակվել օրենքով՝ հանրության գերակա շահի ապահովման նպատակով՝ պահպանելով համաչափության, իրավաչափության և անհրաժեշտության սկզբունքները։ Տվյալ դեպքում հանրության գերակա շահը դրսևորվում է հանրապետության բնակչության կենսական ծառայությունների անխափան ապահովման, էներգետիկ անվտանգության պահպանման և հանրային կարգի պաշտպանության անհրաժեշտությամբ։</w:t>
      </w:r>
    </w:p>
    <w:p w14:paraId="5FBB4616" w14:textId="004CF2B2" w:rsidR="00225DE4" w:rsidRPr="00A31114" w:rsidRDefault="004338EE" w:rsidP="004338EE">
      <w:pPr>
        <w:tabs>
          <w:tab w:val="left" w:pos="709"/>
          <w:tab w:val="left" w:pos="851"/>
          <w:tab w:val="left" w:pos="993"/>
        </w:tabs>
        <w:spacing w:after="0" w:line="360" w:lineRule="auto"/>
        <w:ind w:firstLine="567"/>
        <w:jc w:val="both"/>
        <w:rPr>
          <w:rFonts w:ascii="GHEA Grapalat" w:hAnsi="GHEA Grapalat" w:cs="Calibri"/>
          <w:sz w:val="24"/>
          <w:szCs w:val="24"/>
          <w:lang w:val="hy-AM"/>
        </w:rPr>
      </w:pPr>
      <w:r w:rsidRPr="00A31114">
        <w:rPr>
          <w:rFonts w:ascii="GHEA Grapalat" w:hAnsi="GHEA Grapalat" w:cs="Calibri"/>
          <w:sz w:val="24"/>
          <w:szCs w:val="24"/>
          <w:lang w:val="hy-AM"/>
        </w:rPr>
        <w:t>Ուստի, հաշվի առնելով ՀԷՑ-ի կողմից իրականացվող գործունեության բացառիկ նշանակությունը, դրա ազդեցությունը հանրային կյանքի բոլոր ոլորտների վրա, ինչպես նաև ոլորտի բնական մենաշնորհային բնույթը, առկա են բավարար իրավական և հանրային հիմքեր՝ ՀԷՑ-ի գործունեությունը հանրության գերակա շահ ճանաչելու համար։</w:t>
      </w:r>
    </w:p>
    <w:p w14:paraId="0FB66983" w14:textId="229B66AD" w:rsidR="00225DE4" w:rsidRPr="00A31114" w:rsidRDefault="00225DE4" w:rsidP="00E31723">
      <w:pPr>
        <w:tabs>
          <w:tab w:val="left" w:pos="709"/>
          <w:tab w:val="left" w:pos="851"/>
          <w:tab w:val="left" w:pos="993"/>
        </w:tabs>
        <w:spacing w:after="0" w:line="360" w:lineRule="auto"/>
        <w:ind w:firstLine="567"/>
        <w:jc w:val="both"/>
        <w:rPr>
          <w:rFonts w:ascii="GHEA Grapalat" w:eastAsia="Times New Roman" w:hAnsi="GHEA Grapalat" w:cs="Calibri"/>
          <w:b/>
          <w:bCs/>
          <w:color w:val="000000"/>
          <w:sz w:val="24"/>
          <w:szCs w:val="24"/>
          <w:lang w:val="hy-AM" w:eastAsia="ru-RU"/>
        </w:rPr>
      </w:pPr>
      <w:r w:rsidRPr="00A31114">
        <w:rPr>
          <w:rFonts w:ascii="GHEA Grapalat" w:eastAsia="Times New Roman" w:hAnsi="GHEA Grapalat" w:cs="Calibri"/>
          <w:b/>
          <w:bCs/>
          <w:color w:val="000000"/>
          <w:sz w:val="24"/>
          <w:szCs w:val="24"/>
          <w:lang w:val="hy-AM" w:eastAsia="ru-RU"/>
        </w:rPr>
        <w:t>3. Ակնկալվող արդյունքը.</w:t>
      </w:r>
    </w:p>
    <w:p w14:paraId="12BF4616" w14:textId="7729A5B8" w:rsidR="00BB215D" w:rsidRPr="00A31114" w:rsidRDefault="004338EE" w:rsidP="00E31723">
      <w:pPr>
        <w:pStyle w:val="ListParagraph"/>
        <w:tabs>
          <w:tab w:val="left" w:pos="709"/>
          <w:tab w:val="left" w:pos="851"/>
          <w:tab w:val="left" w:pos="993"/>
        </w:tabs>
        <w:spacing w:after="0" w:line="360" w:lineRule="auto"/>
        <w:ind w:left="0" w:firstLine="567"/>
        <w:jc w:val="both"/>
        <w:rPr>
          <w:rFonts w:ascii="GHEA Grapalat" w:eastAsia="Times New Roman" w:hAnsi="GHEA Grapalat" w:cs="Calibri"/>
          <w:color w:val="000000"/>
          <w:sz w:val="24"/>
          <w:szCs w:val="24"/>
          <w:lang w:val="hy-AM" w:eastAsia="ru-RU"/>
        </w:rPr>
      </w:pPr>
      <w:r w:rsidRPr="00A31114">
        <w:rPr>
          <w:rFonts w:ascii="GHEA Grapalat" w:eastAsia="Times New Roman" w:hAnsi="GHEA Grapalat" w:cs="Calibri"/>
          <w:color w:val="000000"/>
          <w:sz w:val="24"/>
          <w:szCs w:val="24"/>
          <w:lang w:val="hy-AM" w:eastAsia="ru-RU"/>
        </w:rPr>
        <w:t>Էլեկտրաէներգիայի բաշխիչ ցանցերը, իրենց բնույթով, հանդիսանում են ռազմավարական ենթակառուցվածք, որի գործունեության խափանումը կարող է առաջացնել լայնածավալ սոցիալական, տնտեսական և անվտանգային հետևանքներ։ Հետևաբար պետությունն ունի ոչ միայն իրավունք, այլև սահմանադրաիրավական պարտականություն՝ միջամտելու այն դեպքերում, երբ առկա է հանրային շահի պաշտպանության անհրաժեշտություն։ Ուստի սույն որոշման ընդունման արդյունքում «Հայաստանի էլեկտրական ցանցեր» փակ բաժնետիրական ընկերության 100% բաժնետոմսերի (բաժնեմասի) նկատմամբ կճանաչվի հանրության գերակա շահ:</w:t>
      </w:r>
    </w:p>
    <w:p w14:paraId="3E90760D" w14:textId="4620031A" w:rsidR="00225DE4" w:rsidRPr="00A31114" w:rsidRDefault="00225DE4" w:rsidP="00E31723">
      <w:pPr>
        <w:tabs>
          <w:tab w:val="left" w:pos="709"/>
          <w:tab w:val="left" w:pos="851"/>
          <w:tab w:val="left" w:pos="993"/>
        </w:tabs>
        <w:spacing w:after="0" w:line="360" w:lineRule="auto"/>
        <w:ind w:firstLine="567"/>
        <w:contextualSpacing/>
        <w:jc w:val="both"/>
        <w:rPr>
          <w:rFonts w:ascii="GHEA Grapalat" w:eastAsia="Times New Roman" w:hAnsi="GHEA Grapalat" w:cs="Calibri"/>
          <w:b/>
          <w:color w:val="000000"/>
          <w:sz w:val="24"/>
          <w:szCs w:val="24"/>
          <w:lang w:val="hy-AM" w:eastAsia="ru-RU"/>
        </w:rPr>
      </w:pPr>
      <w:r w:rsidRPr="00A31114">
        <w:rPr>
          <w:rFonts w:ascii="GHEA Grapalat" w:eastAsia="Times New Roman" w:hAnsi="GHEA Grapalat" w:cs="Calibri"/>
          <w:b/>
          <w:color w:val="000000"/>
          <w:sz w:val="24"/>
          <w:szCs w:val="24"/>
          <w:lang w:val="hy-AM" w:eastAsia="ru-RU"/>
        </w:rPr>
        <w:t>4. Նախագծերի ընդունման կապակցությամբ այլ նորմատիվ իրավական ակտերի ընդունման անհրաժեշտությունը, ինչպես նաև լրացուցիչ ֆինանսական միջոցների անհրաժեշտությունը և պետական բյուջեի եկամուտներում և ծախսերում սպասվելիք փոփոխությունները.</w:t>
      </w:r>
    </w:p>
    <w:p w14:paraId="07624565" w14:textId="77777777" w:rsidR="00225DE4" w:rsidRPr="00A31114" w:rsidRDefault="00225DE4" w:rsidP="00E31723">
      <w:pPr>
        <w:tabs>
          <w:tab w:val="left" w:pos="709"/>
          <w:tab w:val="left" w:pos="851"/>
          <w:tab w:val="left" w:pos="993"/>
        </w:tabs>
        <w:spacing w:after="0" w:line="360" w:lineRule="auto"/>
        <w:ind w:firstLine="567"/>
        <w:contextualSpacing/>
        <w:jc w:val="both"/>
        <w:rPr>
          <w:rFonts w:ascii="GHEA Grapalat" w:eastAsia="Times New Roman" w:hAnsi="GHEA Grapalat" w:cs="Calibri"/>
          <w:bCs/>
          <w:color w:val="000000"/>
          <w:sz w:val="24"/>
          <w:szCs w:val="24"/>
          <w:lang w:val="hy-AM" w:eastAsia="ru-RU"/>
        </w:rPr>
      </w:pPr>
    </w:p>
    <w:p w14:paraId="463DEA90" w14:textId="77777777" w:rsidR="00BB215D" w:rsidRPr="00A31114" w:rsidRDefault="00BB215D" w:rsidP="00E31723">
      <w:pPr>
        <w:tabs>
          <w:tab w:val="left" w:pos="709"/>
          <w:tab w:val="left" w:pos="851"/>
          <w:tab w:val="left" w:pos="993"/>
        </w:tabs>
        <w:spacing w:after="0" w:line="360" w:lineRule="auto"/>
        <w:ind w:firstLine="567"/>
        <w:contextualSpacing/>
        <w:jc w:val="both"/>
        <w:rPr>
          <w:rFonts w:ascii="GHEA Grapalat" w:eastAsia="Times New Roman" w:hAnsi="GHEA Grapalat" w:cs="Calibri"/>
          <w:b/>
          <w:color w:val="000000"/>
          <w:sz w:val="24"/>
          <w:szCs w:val="24"/>
          <w:lang w:val="hy-AM" w:eastAsia="ru-RU"/>
        </w:rPr>
      </w:pPr>
    </w:p>
    <w:p w14:paraId="425F3D4C" w14:textId="70D398C9" w:rsidR="00225DE4" w:rsidRPr="00A31114" w:rsidRDefault="00230A68" w:rsidP="00E31723">
      <w:pPr>
        <w:tabs>
          <w:tab w:val="left" w:pos="709"/>
          <w:tab w:val="left" w:pos="851"/>
          <w:tab w:val="left" w:pos="993"/>
        </w:tabs>
        <w:spacing w:after="0" w:line="360" w:lineRule="auto"/>
        <w:ind w:firstLine="567"/>
        <w:contextualSpacing/>
        <w:jc w:val="both"/>
        <w:rPr>
          <w:rFonts w:ascii="GHEA Grapalat" w:eastAsia="Times New Roman" w:hAnsi="GHEA Grapalat" w:cs="Calibri"/>
          <w:b/>
          <w:color w:val="000000"/>
          <w:sz w:val="24"/>
          <w:szCs w:val="24"/>
          <w:lang w:val="hy-AM" w:eastAsia="ru-RU"/>
        </w:rPr>
      </w:pPr>
      <w:r w:rsidRPr="00A31114">
        <w:rPr>
          <w:rFonts w:ascii="GHEA Grapalat" w:eastAsia="Times New Roman" w:hAnsi="GHEA Grapalat" w:cs="Calibri"/>
          <w:b/>
          <w:color w:val="000000"/>
          <w:sz w:val="24"/>
          <w:szCs w:val="24"/>
          <w:lang w:val="hy-AM" w:eastAsia="ru-RU"/>
        </w:rPr>
        <w:t>5</w:t>
      </w:r>
      <w:r w:rsidR="00225DE4" w:rsidRPr="00A31114">
        <w:rPr>
          <w:rFonts w:ascii="GHEA Grapalat" w:eastAsia="Times New Roman" w:hAnsi="GHEA Grapalat" w:cs="Calibri"/>
          <w:b/>
          <w:color w:val="000000"/>
          <w:sz w:val="24"/>
          <w:szCs w:val="24"/>
          <w:lang w:val="hy-AM" w:eastAsia="ru-RU"/>
        </w:rPr>
        <w:t>. Նախագծերի մշակման գործընթացում ներգրավված մարմինները կամ անձինք.</w:t>
      </w:r>
    </w:p>
    <w:p w14:paraId="04B8C4C3" w14:textId="7272E0EE" w:rsidR="00230A68" w:rsidRPr="00A31114" w:rsidRDefault="00230A68" w:rsidP="00E31723">
      <w:pPr>
        <w:tabs>
          <w:tab w:val="left" w:pos="709"/>
          <w:tab w:val="left" w:pos="851"/>
          <w:tab w:val="left" w:pos="993"/>
        </w:tabs>
        <w:spacing w:after="0" w:line="360" w:lineRule="auto"/>
        <w:ind w:firstLine="567"/>
        <w:contextualSpacing/>
        <w:jc w:val="both"/>
        <w:rPr>
          <w:rFonts w:ascii="GHEA Grapalat" w:eastAsia="Times New Roman" w:hAnsi="GHEA Grapalat" w:cs="Calibri"/>
          <w:b/>
          <w:color w:val="000000"/>
          <w:sz w:val="24"/>
          <w:szCs w:val="24"/>
          <w:lang w:val="hy-AM" w:eastAsia="ru-RU"/>
        </w:rPr>
      </w:pPr>
      <w:r w:rsidRPr="00A31114">
        <w:rPr>
          <w:rFonts w:ascii="GHEA Grapalat" w:hAnsi="GHEA Grapalat" w:cs="Sylfaen"/>
          <w:sz w:val="24"/>
          <w:szCs w:val="24"/>
          <w:lang w:val="af-ZA"/>
        </w:rPr>
        <w:t>Նախագիծը մշակվել է Հայաստանի Հանրապետության տարածքային կառավարման և ենթակառուցվածքների</w:t>
      </w:r>
      <w:r w:rsidR="00E01409">
        <w:rPr>
          <w:rFonts w:ascii="GHEA Grapalat" w:hAnsi="GHEA Grapalat" w:cs="Sylfaen"/>
          <w:sz w:val="24"/>
          <w:szCs w:val="24"/>
          <w:lang w:val="hy-AM"/>
        </w:rPr>
        <w:t xml:space="preserve"> նախարարության </w:t>
      </w:r>
      <w:r w:rsidRPr="00A31114">
        <w:rPr>
          <w:rFonts w:ascii="GHEA Grapalat" w:hAnsi="GHEA Grapalat" w:cs="Sylfaen"/>
          <w:sz w:val="24"/>
          <w:szCs w:val="24"/>
          <w:lang w:val="af-ZA"/>
        </w:rPr>
        <w:t xml:space="preserve"> կողմից:</w:t>
      </w:r>
    </w:p>
    <w:p w14:paraId="234BD0BD" w14:textId="7A56E774" w:rsidR="00230A68" w:rsidRPr="00A31114" w:rsidRDefault="00230A68" w:rsidP="00230A68">
      <w:pPr>
        <w:tabs>
          <w:tab w:val="left" w:pos="709"/>
          <w:tab w:val="left" w:pos="851"/>
          <w:tab w:val="left" w:pos="993"/>
        </w:tabs>
        <w:spacing w:after="0" w:line="360" w:lineRule="auto"/>
        <w:ind w:firstLine="567"/>
        <w:contextualSpacing/>
        <w:jc w:val="both"/>
        <w:rPr>
          <w:rFonts w:ascii="GHEA Grapalat" w:eastAsia="Times New Roman" w:hAnsi="GHEA Grapalat" w:cs="Calibri"/>
          <w:b/>
          <w:color w:val="000000"/>
          <w:sz w:val="24"/>
          <w:szCs w:val="24"/>
          <w:lang w:val="hy-AM" w:eastAsia="ru-RU"/>
        </w:rPr>
      </w:pPr>
      <w:bookmarkStart w:id="4" w:name="_heading=h.gjdgxs" w:colFirst="0" w:colLast="0"/>
      <w:bookmarkEnd w:id="4"/>
      <w:r w:rsidRPr="00A31114">
        <w:rPr>
          <w:rFonts w:ascii="GHEA Grapalat" w:eastAsia="Times New Roman" w:hAnsi="GHEA Grapalat" w:cs="Calibri"/>
          <w:b/>
          <w:color w:val="000000"/>
          <w:sz w:val="24"/>
          <w:szCs w:val="24"/>
          <w:lang w:val="hy-AM" w:eastAsia="ru-RU"/>
        </w:rPr>
        <w:t>6. Կապը ռազմավարական փաստաթղթերի հետ.</w:t>
      </w:r>
    </w:p>
    <w:p w14:paraId="08DA6AAF" w14:textId="77777777" w:rsidR="00230A68" w:rsidRPr="00A31114" w:rsidRDefault="00230A68" w:rsidP="00230A68">
      <w:pPr>
        <w:spacing w:after="0" w:line="360" w:lineRule="auto"/>
        <w:ind w:firstLine="567"/>
        <w:jc w:val="both"/>
        <w:rPr>
          <w:rFonts w:ascii="GHEA Grapalat" w:hAnsi="GHEA Grapalat"/>
          <w:sz w:val="24"/>
          <w:szCs w:val="24"/>
          <w:lang w:val="hy-AM"/>
        </w:rPr>
      </w:pPr>
      <w:r w:rsidRPr="00A31114">
        <w:rPr>
          <w:rFonts w:ascii="GHEA Grapalat" w:hAnsi="GHEA Grapalat"/>
          <w:sz w:val="24"/>
          <w:szCs w:val="24"/>
          <w:lang w:val="hy-AM"/>
        </w:rPr>
        <w:t>Կապը առկա չէ:</w:t>
      </w:r>
    </w:p>
    <w:p w14:paraId="72FA56A2" w14:textId="77777777" w:rsidR="00230A68" w:rsidRPr="00A31114" w:rsidRDefault="00230A68" w:rsidP="00230A68">
      <w:pPr>
        <w:tabs>
          <w:tab w:val="left" w:pos="709"/>
          <w:tab w:val="left" w:pos="851"/>
          <w:tab w:val="left" w:pos="993"/>
        </w:tabs>
        <w:spacing w:after="0" w:line="360" w:lineRule="auto"/>
        <w:ind w:firstLine="567"/>
        <w:contextualSpacing/>
        <w:jc w:val="both"/>
        <w:rPr>
          <w:rFonts w:ascii="GHEA Grapalat" w:eastAsia="Times New Roman" w:hAnsi="GHEA Grapalat" w:cs="Calibri"/>
          <w:b/>
          <w:color w:val="000000"/>
          <w:sz w:val="24"/>
          <w:szCs w:val="24"/>
          <w:lang w:val="hy-AM" w:eastAsia="ru-RU"/>
        </w:rPr>
      </w:pPr>
    </w:p>
    <w:bookmarkEnd w:id="0"/>
    <w:p w14:paraId="39825D13" w14:textId="77777777" w:rsidR="009B5DB8" w:rsidRPr="00A31114" w:rsidRDefault="009B5DB8" w:rsidP="00B40C58">
      <w:pPr>
        <w:tabs>
          <w:tab w:val="left" w:pos="709"/>
          <w:tab w:val="left" w:pos="851"/>
          <w:tab w:val="left" w:pos="993"/>
        </w:tabs>
        <w:spacing w:after="0"/>
        <w:ind w:firstLine="567"/>
        <w:rPr>
          <w:rFonts w:ascii="GHEA Grapalat" w:hAnsi="GHEA Grapalat"/>
          <w:sz w:val="24"/>
          <w:szCs w:val="24"/>
          <w:lang w:val="hy-AM"/>
        </w:rPr>
      </w:pPr>
    </w:p>
    <w:sectPr w:rsidR="009B5DB8" w:rsidRPr="00A31114" w:rsidSect="00CB7553">
      <w:headerReference w:type="default" r:id="rId8"/>
      <w:footerReference w:type="default" r:id="rId9"/>
      <w:pgSz w:w="12240" w:h="15840"/>
      <w:pgMar w:top="851" w:right="758"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3B498" w14:textId="77777777" w:rsidR="006634B3" w:rsidRDefault="006634B3" w:rsidP="00A658BB">
      <w:pPr>
        <w:spacing w:after="0" w:line="240" w:lineRule="auto"/>
      </w:pPr>
      <w:r>
        <w:separator/>
      </w:r>
    </w:p>
  </w:endnote>
  <w:endnote w:type="continuationSeparator" w:id="0">
    <w:p w14:paraId="7B0EF8F0" w14:textId="77777777" w:rsidR="006634B3" w:rsidRDefault="006634B3" w:rsidP="00A65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732D" w14:textId="4A4EDB40" w:rsidR="002F3EF1" w:rsidRPr="000F441A" w:rsidRDefault="002F3EF1" w:rsidP="00FC5345">
    <w:pPr>
      <w:pBdr>
        <w:top w:val="nil"/>
        <w:left w:val="nil"/>
        <w:bottom w:val="nil"/>
        <w:right w:val="nil"/>
        <w:between w:val="nil"/>
      </w:pBdr>
      <w:tabs>
        <w:tab w:val="center" w:pos="4844"/>
        <w:tab w:val="right" w:pos="9689"/>
      </w:tabs>
      <w:spacing w:after="0" w:line="240" w:lineRule="auto"/>
      <w:rPr>
        <w:rFonts w:ascii="GHEA Grapalat" w:eastAsia="Calibri" w:hAnsi="GHEA Grapalat"/>
        <w:color w:val="000000"/>
      </w:rPr>
    </w:pPr>
    <w:r w:rsidRPr="000F441A">
      <w:rPr>
        <w:rFonts w:ascii="GHEA Grapalat" w:eastAsia="Calibri" w:hAnsi="GHEA Grapalat"/>
        <w:color w:val="000000"/>
      </w:rPr>
      <w:fldChar w:fldCharType="begin"/>
    </w:r>
    <w:r w:rsidRPr="000F441A">
      <w:rPr>
        <w:rFonts w:ascii="GHEA Grapalat" w:eastAsia="Calibri" w:hAnsi="GHEA Grapalat"/>
        <w:color w:val="000000"/>
      </w:rPr>
      <w:instrText>PAGE</w:instrText>
    </w:r>
    <w:r w:rsidRPr="000F441A">
      <w:rPr>
        <w:rFonts w:ascii="GHEA Grapalat" w:eastAsia="Calibri" w:hAnsi="GHEA Grapalat"/>
        <w:color w:val="000000"/>
      </w:rPr>
      <w:fldChar w:fldCharType="separate"/>
    </w:r>
    <w:r w:rsidR="00371252">
      <w:rPr>
        <w:rFonts w:ascii="GHEA Grapalat" w:eastAsia="Calibri" w:hAnsi="GHEA Grapalat"/>
        <w:noProof/>
        <w:color w:val="000000"/>
      </w:rPr>
      <w:t>4</w:t>
    </w:r>
    <w:r w:rsidRPr="000F441A">
      <w:rPr>
        <w:rFonts w:ascii="GHEA Grapalat" w:eastAsia="Calibri" w:hAnsi="GHEA Grapalat"/>
        <w:color w:val="000000"/>
      </w:rPr>
      <w:fldChar w:fldCharType="end"/>
    </w:r>
  </w:p>
  <w:p w14:paraId="00C467A8" w14:textId="77777777" w:rsidR="002F3EF1" w:rsidRDefault="002F3EF1">
    <w:pPr>
      <w:pBdr>
        <w:top w:val="nil"/>
        <w:left w:val="nil"/>
        <w:bottom w:val="nil"/>
        <w:right w:val="nil"/>
        <w:between w:val="nil"/>
      </w:pBdr>
      <w:tabs>
        <w:tab w:val="center" w:pos="4844"/>
        <w:tab w:val="right" w:pos="9689"/>
      </w:tabs>
      <w:spacing w:after="0" w:line="240" w:lineRule="auto"/>
      <w:rPr>
        <w:rFonts w:eastAsia="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6AD7E" w14:textId="77777777" w:rsidR="006634B3" w:rsidRDefault="006634B3" w:rsidP="00A658BB">
      <w:pPr>
        <w:spacing w:after="0" w:line="240" w:lineRule="auto"/>
      </w:pPr>
      <w:r>
        <w:separator/>
      </w:r>
    </w:p>
  </w:footnote>
  <w:footnote w:type="continuationSeparator" w:id="0">
    <w:p w14:paraId="7B0A4858" w14:textId="77777777" w:rsidR="006634B3" w:rsidRDefault="006634B3" w:rsidP="00A65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4B6E9" w14:textId="6BE29E28" w:rsidR="002F3EF1" w:rsidRPr="00FC5345" w:rsidRDefault="002F3EF1" w:rsidP="00FC5345">
    <w:pPr>
      <w:pBdr>
        <w:top w:val="nil"/>
        <w:left w:val="single" w:sz="18" w:space="4" w:color="FF0000"/>
        <w:bottom w:val="nil"/>
        <w:right w:val="nil"/>
        <w:between w:val="nil"/>
      </w:pBdr>
      <w:tabs>
        <w:tab w:val="right" w:pos="10206"/>
      </w:tabs>
      <w:spacing w:after="0"/>
      <w:rPr>
        <w:rFonts w:ascii="GHEA Grapalat" w:eastAsia="GHEA Grapalat" w:hAnsi="GHEA Grapalat" w:cs="GHEA Grapalat"/>
        <w:color w:val="FF0000"/>
        <w:sz w:val="20"/>
        <w:szCs w:val="20"/>
      </w:rPr>
    </w:pPr>
  </w:p>
  <w:p w14:paraId="63C9EE2C" w14:textId="77777777" w:rsidR="002F3EF1" w:rsidRDefault="002F3EF1">
    <w:pPr>
      <w:pBdr>
        <w:top w:val="nil"/>
        <w:left w:val="nil"/>
        <w:bottom w:val="nil"/>
        <w:right w:val="nil"/>
        <w:between w:val="nil"/>
      </w:pBdr>
      <w:tabs>
        <w:tab w:val="center" w:pos="4844"/>
        <w:tab w:val="right" w:pos="9689"/>
      </w:tabs>
      <w:spacing w:after="0" w:line="240" w:lineRule="auto"/>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D0E97"/>
    <w:multiLevelType w:val="hybridMultilevel"/>
    <w:tmpl w:val="401CCE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C5F72"/>
    <w:multiLevelType w:val="hybridMultilevel"/>
    <w:tmpl w:val="623022AC"/>
    <w:lvl w:ilvl="0" w:tplc="8004AA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F40129"/>
    <w:multiLevelType w:val="multilevel"/>
    <w:tmpl w:val="67B4D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A4960"/>
    <w:multiLevelType w:val="multilevel"/>
    <w:tmpl w:val="36245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48537C"/>
    <w:multiLevelType w:val="multilevel"/>
    <w:tmpl w:val="EE8CF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260C5D"/>
    <w:multiLevelType w:val="hybridMultilevel"/>
    <w:tmpl w:val="1B2271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A8C3065"/>
    <w:multiLevelType w:val="multilevel"/>
    <w:tmpl w:val="9ABA7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8B1D1C"/>
    <w:multiLevelType w:val="multilevel"/>
    <w:tmpl w:val="DE62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FD2074"/>
    <w:multiLevelType w:val="hybridMultilevel"/>
    <w:tmpl w:val="988A896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AA21E2B"/>
    <w:multiLevelType w:val="multilevel"/>
    <w:tmpl w:val="30AE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293FA3"/>
    <w:multiLevelType w:val="multilevel"/>
    <w:tmpl w:val="1F5C7C54"/>
    <w:lvl w:ilvl="0">
      <w:start w:val="1"/>
      <w:numFmt w:val="decimal"/>
      <w:lvlText w:val="%1."/>
      <w:lvlJc w:val="left"/>
      <w:pPr>
        <w:ind w:left="180" w:hanging="360"/>
      </w:pPr>
    </w:lvl>
    <w:lvl w:ilvl="1">
      <w:start w:val="6"/>
      <w:numFmt w:val="decimal"/>
      <w:lvlText w:val="%1.%2."/>
      <w:lvlJc w:val="left"/>
      <w:pPr>
        <w:ind w:left="960" w:hanging="1140"/>
      </w:pPr>
      <w:rPr>
        <w:color w:val="000000"/>
      </w:rPr>
    </w:lvl>
    <w:lvl w:ilvl="2">
      <w:start w:val="1"/>
      <w:numFmt w:val="decimal"/>
      <w:lvlText w:val="%1.%2.%3."/>
      <w:lvlJc w:val="left"/>
      <w:pPr>
        <w:ind w:left="960" w:hanging="1140"/>
      </w:pPr>
      <w:rPr>
        <w:color w:val="000000"/>
      </w:rPr>
    </w:lvl>
    <w:lvl w:ilvl="3">
      <w:start w:val="1"/>
      <w:numFmt w:val="decimal"/>
      <w:lvlText w:val="%1.%2.%3.%4."/>
      <w:lvlJc w:val="left"/>
      <w:pPr>
        <w:ind w:left="960" w:hanging="1140"/>
      </w:pPr>
      <w:rPr>
        <w:color w:val="000000"/>
      </w:rPr>
    </w:lvl>
    <w:lvl w:ilvl="4">
      <w:start w:val="1"/>
      <w:numFmt w:val="decimal"/>
      <w:lvlText w:val="%1.%2.%3.%4.%5."/>
      <w:lvlJc w:val="left"/>
      <w:pPr>
        <w:ind w:left="960" w:hanging="1140"/>
      </w:pPr>
      <w:rPr>
        <w:color w:val="000000"/>
      </w:rPr>
    </w:lvl>
    <w:lvl w:ilvl="5">
      <w:start w:val="1"/>
      <w:numFmt w:val="decimal"/>
      <w:lvlText w:val="%1.%2.%3.%4.%5.%6."/>
      <w:lvlJc w:val="left"/>
      <w:pPr>
        <w:ind w:left="1260" w:hanging="1440"/>
      </w:pPr>
      <w:rPr>
        <w:color w:val="000000"/>
      </w:rPr>
    </w:lvl>
    <w:lvl w:ilvl="6">
      <w:start w:val="1"/>
      <w:numFmt w:val="decimal"/>
      <w:lvlText w:val="%1.%2.%3.%4.%5.%6.%7."/>
      <w:lvlJc w:val="left"/>
      <w:pPr>
        <w:ind w:left="1620" w:hanging="1800"/>
      </w:pPr>
      <w:rPr>
        <w:color w:val="000000"/>
      </w:rPr>
    </w:lvl>
    <w:lvl w:ilvl="7">
      <w:start w:val="1"/>
      <w:numFmt w:val="decimal"/>
      <w:lvlText w:val="%1.%2.%3.%4.%5.%6.%7.%8."/>
      <w:lvlJc w:val="left"/>
      <w:pPr>
        <w:ind w:left="1620" w:hanging="1800"/>
      </w:pPr>
      <w:rPr>
        <w:color w:val="000000"/>
      </w:rPr>
    </w:lvl>
    <w:lvl w:ilvl="8">
      <w:start w:val="1"/>
      <w:numFmt w:val="decimal"/>
      <w:lvlText w:val="%1.%2.%3.%4.%5.%6.%7.%8.%9."/>
      <w:lvlJc w:val="left"/>
      <w:pPr>
        <w:ind w:left="1980" w:hanging="2160"/>
      </w:pPr>
      <w:rPr>
        <w:color w:val="000000"/>
      </w:rPr>
    </w:lvl>
  </w:abstractNum>
  <w:abstractNum w:abstractNumId="11" w15:restartNumberingAfterBreak="0">
    <w:nsid w:val="3E2F5BCA"/>
    <w:multiLevelType w:val="hybridMultilevel"/>
    <w:tmpl w:val="C46E4BC4"/>
    <w:lvl w:ilvl="0" w:tplc="8C6EE2F8">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41274328"/>
    <w:multiLevelType w:val="hybridMultilevel"/>
    <w:tmpl w:val="F5EE6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A3576"/>
    <w:multiLevelType w:val="hybridMultilevel"/>
    <w:tmpl w:val="A5D8CC7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6470B7"/>
    <w:multiLevelType w:val="multilevel"/>
    <w:tmpl w:val="C3565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DB71FE"/>
    <w:multiLevelType w:val="hybridMultilevel"/>
    <w:tmpl w:val="F9002DEE"/>
    <w:lvl w:ilvl="0" w:tplc="32AA14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3D90005"/>
    <w:multiLevelType w:val="multilevel"/>
    <w:tmpl w:val="D42AD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5E6B8F"/>
    <w:multiLevelType w:val="multilevel"/>
    <w:tmpl w:val="59D60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9E0E09"/>
    <w:multiLevelType w:val="multilevel"/>
    <w:tmpl w:val="30B84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674FBE"/>
    <w:multiLevelType w:val="multilevel"/>
    <w:tmpl w:val="D4647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78278A"/>
    <w:multiLevelType w:val="multilevel"/>
    <w:tmpl w:val="21229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143587"/>
    <w:multiLevelType w:val="multilevel"/>
    <w:tmpl w:val="7F9E6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67382A"/>
    <w:multiLevelType w:val="multilevel"/>
    <w:tmpl w:val="C6D6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14777E"/>
    <w:multiLevelType w:val="hybridMultilevel"/>
    <w:tmpl w:val="3AC4B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E70071"/>
    <w:multiLevelType w:val="multilevel"/>
    <w:tmpl w:val="32AEA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C677AF"/>
    <w:multiLevelType w:val="multilevel"/>
    <w:tmpl w:val="732CF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86DAB"/>
    <w:multiLevelType w:val="hybridMultilevel"/>
    <w:tmpl w:val="09100A0A"/>
    <w:lvl w:ilvl="0" w:tplc="2586DBA6">
      <w:start w:val="4"/>
      <w:numFmt w:val="decimal"/>
      <w:lvlText w:val="%1."/>
      <w:lvlJc w:val="left"/>
      <w:pPr>
        <w:ind w:left="180" w:hanging="360"/>
      </w:pPr>
      <w:rPr>
        <w:rFonts w:hint="default"/>
        <w:b/>
        <w:color w:val="00000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7" w15:restartNumberingAfterBreak="0">
    <w:nsid w:val="7DCA0116"/>
    <w:multiLevelType w:val="multilevel"/>
    <w:tmpl w:val="A3B0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25704B"/>
    <w:multiLevelType w:val="multilevel"/>
    <w:tmpl w:val="9950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8D2293"/>
    <w:multiLevelType w:val="hybridMultilevel"/>
    <w:tmpl w:val="082022D0"/>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15:restartNumberingAfterBreak="0">
    <w:nsid w:val="7FE5471F"/>
    <w:multiLevelType w:val="multilevel"/>
    <w:tmpl w:val="72B4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9"/>
  </w:num>
  <w:num w:numId="3">
    <w:abstractNumId w:val="11"/>
  </w:num>
  <w:num w:numId="4">
    <w:abstractNumId w:val="26"/>
  </w:num>
  <w:num w:numId="5">
    <w:abstractNumId w:val="15"/>
  </w:num>
  <w:num w:numId="6">
    <w:abstractNumId w:val="1"/>
  </w:num>
  <w:num w:numId="7">
    <w:abstractNumId w:val="2"/>
  </w:num>
  <w:num w:numId="8">
    <w:abstractNumId w:val="25"/>
  </w:num>
  <w:num w:numId="9">
    <w:abstractNumId w:val="9"/>
  </w:num>
  <w:num w:numId="10">
    <w:abstractNumId w:val="27"/>
  </w:num>
  <w:num w:numId="11">
    <w:abstractNumId w:val="17"/>
  </w:num>
  <w:num w:numId="12">
    <w:abstractNumId w:val="16"/>
  </w:num>
  <w:num w:numId="13">
    <w:abstractNumId w:val="3"/>
  </w:num>
  <w:num w:numId="14">
    <w:abstractNumId w:val="21"/>
  </w:num>
  <w:num w:numId="15">
    <w:abstractNumId w:val="24"/>
  </w:num>
  <w:num w:numId="16">
    <w:abstractNumId w:val="22"/>
  </w:num>
  <w:num w:numId="17">
    <w:abstractNumId w:val="18"/>
  </w:num>
  <w:num w:numId="18">
    <w:abstractNumId w:val="28"/>
  </w:num>
  <w:num w:numId="19">
    <w:abstractNumId w:val="30"/>
  </w:num>
  <w:num w:numId="20">
    <w:abstractNumId w:val="19"/>
  </w:num>
  <w:num w:numId="21">
    <w:abstractNumId w:val="14"/>
  </w:num>
  <w:num w:numId="22">
    <w:abstractNumId w:val="4"/>
  </w:num>
  <w:num w:numId="23">
    <w:abstractNumId w:val="6"/>
  </w:num>
  <w:num w:numId="24">
    <w:abstractNumId w:val="20"/>
  </w:num>
  <w:num w:numId="25">
    <w:abstractNumId w:val="8"/>
  </w:num>
  <w:num w:numId="26">
    <w:abstractNumId w:val="23"/>
  </w:num>
  <w:num w:numId="27">
    <w:abstractNumId w:val="0"/>
  </w:num>
  <w:num w:numId="28">
    <w:abstractNumId w:val="12"/>
  </w:num>
  <w:num w:numId="29">
    <w:abstractNumId w:val="5"/>
  </w:num>
  <w:num w:numId="30">
    <w:abstractNumId w:val="13"/>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4B2"/>
    <w:rsid w:val="00002AC7"/>
    <w:rsid w:val="00014D22"/>
    <w:rsid w:val="00021491"/>
    <w:rsid w:val="0005324B"/>
    <w:rsid w:val="00080ADB"/>
    <w:rsid w:val="0009214A"/>
    <w:rsid w:val="00092242"/>
    <w:rsid w:val="000B7C46"/>
    <w:rsid w:val="000F104D"/>
    <w:rsid w:val="000F441A"/>
    <w:rsid w:val="001045D7"/>
    <w:rsid w:val="001072D1"/>
    <w:rsid w:val="00111441"/>
    <w:rsid w:val="00135A1F"/>
    <w:rsid w:val="001506F5"/>
    <w:rsid w:val="00177422"/>
    <w:rsid w:val="001952FC"/>
    <w:rsid w:val="001A6443"/>
    <w:rsid w:val="001B34B6"/>
    <w:rsid w:val="001C51D5"/>
    <w:rsid w:val="001C5961"/>
    <w:rsid w:val="001D2933"/>
    <w:rsid w:val="001E6B07"/>
    <w:rsid w:val="00211F1E"/>
    <w:rsid w:val="00225DE4"/>
    <w:rsid w:val="00230A68"/>
    <w:rsid w:val="00237886"/>
    <w:rsid w:val="002455FC"/>
    <w:rsid w:val="002A6C9F"/>
    <w:rsid w:val="002B10A6"/>
    <w:rsid w:val="002B190B"/>
    <w:rsid w:val="002B19D0"/>
    <w:rsid w:val="002B5C6B"/>
    <w:rsid w:val="002F3EF1"/>
    <w:rsid w:val="0030488C"/>
    <w:rsid w:val="0030520C"/>
    <w:rsid w:val="0030793C"/>
    <w:rsid w:val="00315B9C"/>
    <w:rsid w:val="00317F93"/>
    <w:rsid w:val="00324EBF"/>
    <w:rsid w:val="003428A1"/>
    <w:rsid w:val="003446A9"/>
    <w:rsid w:val="00371252"/>
    <w:rsid w:val="003908B1"/>
    <w:rsid w:val="003951B9"/>
    <w:rsid w:val="003B7A7C"/>
    <w:rsid w:val="003C1891"/>
    <w:rsid w:val="003C2D9B"/>
    <w:rsid w:val="003F2697"/>
    <w:rsid w:val="004105F2"/>
    <w:rsid w:val="004141C6"/>
    <w:rsid w:val="00424635"/>
    <w:rsid w:val="004304E6"/>
    <w:rsid w:val="00433767"/>
    <w:rsid w:val="004338EE"/>
    <w:rsid w:val="004375A9"/>
    <w:rsid w:val="00437C85"/>
    <w:rsid w:val="00441D0C"/>
    <w:rsid w:val="004726E1"/>
    <w:rsid w:val="00476966"/>
    <w:rsid w:val="004824FF"/>
    <w:rsid w:val="004A6BEC"/>
    <w:rsid w:val="004B75F4"/>
    <w:rsid w:val="004D62E0"/>
    <w:rsid w:val="004E0AF5"/>
    <w:rsid w:val="00522FC8"/>
    <w:rsid w:val="005320AF"/>
    <w:rsid w:val="0053504B"/>
    <w:rsid w:val="00535058"/>
    <w:rsid w:val="00540F81"/>
    <w:rsid w:val="0055538F"/>
    <w:rsid w:val="00556985"/>
    <w:rsid w:val="005834B2"/>
    <w:rsid w:val="00583786"/>
    <w:rsid w:val="00585C5B"/>
    <w:rsid w:val="00592CF7"/>
    <w:rsid w:val="005978D3"/>
    <w:rsid w:val="005A01B3"/>
    <w:rsid w:val="005B3B10"/>
    <w:rsid w:val="005B3C66"/>
    <w:rsid w:val="005C5C38"/>
    <w:rsid w:val="005E3F41"/>
    <w:rsid w:val="005F011E"/>
    <w:rsid w:val="00621D13"/>
    <w:rsid w:val="00622A77"/>
    <w:rsid w:val="006324E0"/>
    <w:rsid w:val="006325E3"/>
    <w:rsid w:val="00637E18"/>
    <w:rsid w:val="00646124"/>
    <w:rsid w:val="006634B3"/>
    <w:rsid w:val="00673D25"/>
    <w:rsid w:val="00681695"/>
    <w:rsid w:val="006A0C38"/>
    <w:rsid w:val="006A20E1"/>
    <w:rsid w:val="006A3F02"/>
    <w:rsid w:val="006C5C70"/>
    <w:rsid w:val="006E3482"/>
    <w:rsid w:val="006F6E5A"/>
    <w:rsid w:val="00705A40"/>
    <w:rsid w:val="00712F84"/>
    <w:rsid w:val="0072696E"/>
    <w:rsid w:val="00757F4C"/>
    <w:rsid w:val="0076001A"/>
    <w:rsid w:val="00760C72"/>
    <w:rsid w:val="00765A03"/>
    <w:rsid w:val="0076750C"/>
    <w:rsid w:val="00772F47"/>
    <w:rsid w:val="0078615F"/>
    <w:rsid w:val="007A5DA5"/>
    <w:rsid w:val="007B2688"/>
    <w:rsid w:val="007C2F93"/>
    <w:rsid w:val="007C44D2"/>
    <w:rsid w:val="007D59BB"/>
    <w:rsid w:val="007E1233"/>
    <w:rsid w:val="007F27E5"/>
    <w:rsid w:val="007F65A6"/>
    <w:rsid w:val="0080501D"/>
    <w:rsid w:val="00805FE0"/>
    <w:rsid w:val="0081049D"/>
    <w:rsid w:val="008573C5"/>
    <w:rsid w:val="00894E78"/>
    <w:rsid w:val="0089723A"/>
    <w:rsid w:val="008C3E8C"/>
    <w:rsid w:val="008D2371"/>
    <w:rsid w:val="008D7652"/>
    <w:rsid w:val="008E0AC0"/>
    <w:rsid w:val="008F0420"/>
    <w:rsid w:val="008F5C7B"/>
    <w:rsid w:val="008F77DD"/>
    <w:rsid w:val="00936B15"/>
    <w:rsid w:val="00941DDA"/>
    <w:rsid w:val="00943F02"/>
    <w:rsid w:val="0094407D"/>
    <w:rsid w:val="00946C57"/>
    <w:rsid w:val="00971CEA"/>
    <w:rsid w:val="00980972"/>
    <w:rsid w:val="009926CD"/>
    <w:rsid w:val="00997348"/>
    <w:rsid w:val="009B5DB8"/>
    <w:rsid w:val="009C2293"/>
    <w:rsid w:val="009C47FA"/>
    <w:rsid w:val="009C778C"/>
    <w:rsid w:val="009E79D0"/>
    <w:rsid w:val="00A22588"/>
    <w:rsid w:val="00A25A41"/>
    <w:rsid w:val="00A31114"/>
    <w:rsid w:val="00A51552"/>
    <w:rsid w:val="00A5390A"/>
    <w:rsid w:val="00A54F1A"/>
    <w:rsid w:val="00A555DB"/>
    <w:rsid w:val="00A658BB"/>
    <w:rsid w:val="00A6798B"/>
    <w:rsid w:val="00A71D12"/>
    <w:rsid w:val="00A72F62"/>
    <w:rsid w:val="00AE6C25"/>
    <w:rsid w:val="00AF5CF9"/>
    <w:rsid w:val="00B171CF"/>
    <w:rsid w:val="00B22691"/>
    <w:rsid w:val="00B40C58"/>
    <w:rsid w:val="00B41A01"/>
    <w:rsid w:val="00B45476"/>
    <w:rsid w:val="00B507B2"/>
    <w:rsid w:val="00B56E13"/>
    <w:rsid w:val="00B63409"/>
    <w:rsid w:val="00B725A3"/>
    <w:rsid w:val="00B83881"/>
    <w:rsid w:val="00BA3AC4"/>
    <w:rsid w:val="00BB215D"/>
    <w:rsid w:val="00BC116F"/>
    <w:rsid w:val="00BE24AF"/>
    <w:rsid w:val="00C13BD4"/>
    <w:rsid w:val="00C4424B"/>
    <w:rsid w:val="00C46CA7"/>
    <w:rsid w:val="00C65B46"/>
    <w:rsid w:val="00C93E92"/>
    <w:rsid w:val="00CA38D0"/>
    <w:rsid w:val="00CB7553"/>
    <w:rsid w:val="00CD011C"/>
    <w:rsid w:val="00CE04E0"/>
    <w:rsid w:val="00CE67DB"/>
    <w:rsid w:val="00D25430"/>
    <w:rsid w:val="00D27677"/>
    <w:rsid w:val="00D31B70"/>
    <w:rsid w:val="00D527D7"/>
    <w:rsid w:val="00D56D4E"/>
    <w:rsid w:val="00D70CFD"/>
    <w:rsid w:val="00D76176"/>
    <w:rsid w:val="00DD56B6"/>
    <w:rsid w:val="00DD72AE"/>
    <w:rsid w:val="00E01409"/>
    <w:rsid w:val="00E247E1"/>
    <w:rsid w:val="00E2741A"/>
    <w:rsid w:val="00E31723"/>
    <w:rsid w:val="00E34A9E"/>
    <w:rsid w:val="00E52344"/>
    <w:rsid w:val="00E64FDC"/>
    <w:rsid w:val="00E80225"/>
    <w:rsid w:val="00E96542"/>
    <w:rsid w:val="00ED1CC0"/>
    <w:rsid w:val="00EE1439"/>
    <w:rsid w:val="00EE24EF"/>
    <w:rsid w:val="00EE764F"/>
    <w:rsid w:val="00F17733"/>
    <w:rsid w:val="00F21D0C"/>
    <w:rsid w:val="00F261D8"/>
    <w:rsid w:val="00F55AB2"/>
    <w:rsid w:val="00F66F12"/>
    <w:rsid w:val="00F71FC0"/>
    <w:rsid w:val="00F77372"/>
    <w:rsid w:val="00F8123D"/>
    <w:rsid w:val="00F96505"/>
    <w:rsid w:val="00FC5345"/>
    <w:rsid w:val="00FC5EA9"/>
    <w:rsid w:val="00FD7D5C"/>
    <w:rsid w:val="00FE0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FC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765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2,Footnote Text Char Char1,Fußnotentext Char Char2 Char1,Char Char1 Char2 Char1,Fußnotentext Char Char Char1 Char1,Char Char1 Char Char1 Char1,Fußnotentext Char Char Char Char Char1,Char Char1 Char Char Char Char1,Fußnot"/>
    <w:basedOn w:val="Normal"/>
    <w:link w:val="FootnoteTextChar"/>
    <w:uiPriority w:val="99"/>
    <w:unhideWhenUsed/>
    <w:rsid w:val="00A658BB"/>
    <w:pPr>
      <w:spacing w:after="0" w:line="240" w:lineRule="auto"/>
    </w:pPr>
    <w:rPr>
      <w:rFonts w:ascii="Calibri" w:eastAsia="Times New Roman" w:hAnsi="Calibri" w:cs="Calibri"/>
      <w:sz w:val="20"/>
      <w:szCs w:val="20"/>
      <w:lang w:val="hy-AM" w:eastAsia="ru-RU"/>
    </w:rPr>
  </w:style>
  <w:style w:type="character" w:customStyle="1" w:styleId="FootnoteTextChar">
    <w:name w:val="Footnote Text Char"/>
    <w:aliases w:val="Footnote Text Char2 Char,Footnote Text Char Char1 Char,Fußnotentext Char Char2 Char1 Char,Char Char1 Char2 Char1 Char,Fußnotentext Char Char Char1 Char1 Char,Char Char1 Char Char1 Char1 Char,Fußnotentext Char Char Char Char Char1 Char"/>
    <w:basedOn w:val="DefaultParagraphFont"/>
    <w:link w:val="FootnoteText"/>
    <w:uiPriority w:val="99"/>
    <w:qFormat/>
    <w:rsid w:val="00A658BB"/>
    <w:rPr>
      <w:rFonts w:ascii="Calibri" w:eastAsia="Times New Roman" w:hAnsi="Calibri" w:cs="Calibri"/>
      <w:sz w:val="20"/>
      <w:szCs w:val="20"/>
      <w:lang w:val="hy-AM" w:eastAsia="ru-RU"/>
    </w:rPr>
  </w:style>
  <w:style w:type="character" w:styleId="FootnoteReference">
    <w:name w:val="footnote reference"/>
    <w:basedOn w:val="DefaultParagraphFont"/>
    <w:uiPriority w:val="99"/>
    <w:unhideWhenUsed/>
    <w:rsid w:val="00A658BB"/>
    <w:rPr>
      <w:vertAlign w:val="superscript"/>
    </w:rPr>
  </w:style>
  <w:style w:type="character" w:customStyle="1" w:styleId="Hyperlink1">
    <w:name w:val="Hyperlink1"/>
    <w:basedOn w:val="DefaultParagraphFont"/>
    <w:uiPriority w:val="99"/>
    <w:unhideWhenUsed/>
    <w:rsid w:val="00A658BB"/>
    <w:rPr>
      <w:color w:val="0000FF"/>
      <w:u w:val="single"/>
    </w:rPr>
  </w:style>
  <w:style w:type="table" w:customStyle="1" w:styleId="TableGrid1">
    <w:name w:val="Table Grid1"/>
    <w:basedOn w:val="TableNormal"/>
    <w:next w:val="TableGrid"/>
    <w:uiPriority w:val="39"/>
    <w:rsid w:val="00A65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658BB"/>
    <w:rPr>
      <w:color w:val="0563C1" w:themeColor="hyperlink"/>
      <w:u w:val="single"/>
    </w:rPr>
  </w:style>
  <w:style w:type="table" w:styleId="TableGrid">
    <w:name w:val="Table Grid"/>
    <w:basedOn w:val="TableNormal"/>
    <w:uiPriority w:val="39"/>
    <w:rsid w:val="00A65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20C"/>
    <w:pPr>
      <w:ind w:left="720"/>
      <w:contextualSpacing/>
    </w:pPr>
  </w:style>
  <w:style w:type="character" w:styleId="CommentReference">
    <w:name w:val="annotation reference"/>
    <w:basedOn w:val="DefaultParagraphFont"/>
    <w:uiPriority w:val="99"/>
    <w:semiHidden/>
    <w:unhideWhenUsed/>
    <w:rsid w:val="00B171CF"/>
    <w:rPr>
      <w:sz w:val="16"/>
      <w:szCs w:val="16"/>
    </w:rPr>
  </w:style>
  <w:style w:type="paragraph" w:styleId="CommentText">
    <w:name w:val="annotation text"/>
    <w:basedOn w:val="Normal"/>
    <w:link w:val="CommentTextChar"/>
    <w:uiPriority w:val="99"/>
    <w:unhideWhenUsed/>
    <w:rsid w:val="00B171CF"/>
    <w:pPr>
      <w:spacing w:line="240" w:lineRule="auto"/>
    </w:pPr>
    <w:rPr>
      <w:sz w:val="20"/>
      <w:szCs w:val="20"/>
    </w:rPr>
  </w:style>
  <w:style w:type="character" w:customStyle="1" w:styleId="CommentTextChar">
    <w:name w:val="Comment Text Char"/>
    <w:basedOn w:val="DefaultParagraphFont"/>
    <w:link w:val="CommentText"/>
    <w:uiPriority w:val="99"/>
    <w:rsid w:val="00B171CF"/>
    <w:rPr>
      <w:sz w:val="20"/>
      <w:szCs w:val="20"/>
    </w:rPr>
  </w:style>
  <w:style w:type="character" w:customStyle="1" w:styleId="UnresolvedMention1">
    <w:name w:val="Unresolved Mention1"/>
    <w:basedOn w:val="DefaultParagraphFont"/>
    <w:uiPriority w:val="99"/>
    <w:semiHidden/>
    <w:unhideWhenUsed/>
    <w:rsid w:val="00637E18"/>
    <w:rPr>
      <w:color w:val="605E5C"/>
      <w:shd w:val="clear" w:color="auto" w:fill="E1DFDD"/>
    </w:rPr>
  </w:style>
  <w:style w:type="paragraph" w:styleId="NormalWeb">
    <w:name w:val="Normal (Web)"/>
    <w:basedOn w:val="Normal"/>
    <w:uiPriority w:val="99"/>
    <w:semiHidden/>
    <w:unhideWhenUsed/>
    <w:rsid w:val="00583786"/>
    <w:rPr>
      <w:rFonts w:ascii="Times New Roman" w:hAnsi="Times New Roman" w:cs="Times New Roman"/>
      <w:sz w:val="24"/>
      <w:szCs w:val="24"/>
    </w:rPr>
  </w:style>
  <w:style w:type="character" w:styleId="Strong">
    <w:name w:val="Strong"/>
    <w:basedOn w:val="DefaultParagraphFont"/>
    <w:uiPriority w:val="22"/>
    <w:qFormat/>
    <w:rsid w:val="003428A1"/>
    <w:rPr>
      <w:b/>
      <w:bCs/>
    </w:rPr>
  </w:style>
  <w:style w:type="character" w:styleId="Emphasis">
    <w:name w:val="Emphasis"/>
    <w:basedOn w:val="DefaultParagraphFont"/>
    <w:uiPriority w:val="20"/>
    <w:qFormat/>
    <w:rsid w:val="00522FC8"/>
    <w:rPr>
      <w:i/>
      <w:iCs/>
    </w:rPr>
  </w:style>
  <w:style w:type="character" w:styleId="FollowedHyperlink">
    <w:name w:val="FollowedHyperlink"/>
    <w:basedOn w:val="DefaultParagraphFont"/>
    <w:uiPriority w:val="99"/>
    <w:semiHidden/>
    <w:unhideWhenUsed/>
    <w:rsid w:val="009E79D0"/>
    <w:rPr>
      <w:color w:val="954F72" w:themeColor="followedHyperlink"/>
      <w:u w:val="single"/>
    </w:rPr>
  </w:style>
  <w:style w:type="character" w:customStyle="1" w:styleId="Heading1Char">
    <w:name w:val="Heading 1 Char"/>
    <w:basedOn w:val="DefaultParagraphFont"/>
    <w:link w:val="Heading1"/>
    <w:uiPriority w:val="9"/>
    <w:rsid w:val="008D7652"/>
    <w:rPr>
      <w:rFonts w:asciiTheme="majorHAnsi" w:eastAsiaTheme="majorEastAsia" w:hAnsiTheme="majorHAnsi" w:cstheme="majorBidi"/>
      <w:color w:val="2E74B5" w:themeColor="accent1" w:themeShade="BF"/>
      <w:sz w:val="32"/>
      <w:szCs w:val="32"/>
    </w:rPr>
  </w:style>
  <w:style w:type="paragraph" w:styleId="CommentSubject">
    <w:name w:val="annotation subject"/>
    <w:basedOn w:val="CommentText"/>
    <w:next w:val="CommentText"/>
    <w:link w:val="CommentSubjectChar"/>
    <w:uiPriority w:val="99"/>
    <w:semiHidden/>
    <w:unhideWhenUsed/>
    <w:rsid w:val="00AF5CF9"/>
    <w:rPr>
      <w:b/>
      <w:bCs/>
    </w:rPr>
  </w:style>
  <w:style w:type="character" w:customStyle="1" w:styleId="CommentSubjectChar">
    <w:name w:val="Comment Subject Char"/>
    <w:basedOn w:val="CommentTextChar"/>
    <w:link w:val="CommentSubject"/>
    <w:uiPriority w:val="99"/>
    <w:semiHidden/>
    <w:rsid w:val="00AF5CF9"/>
    <w:rPr>
      <w:b/>
      <w:bCs/>
      <w:sz w:val="20"/>
      <w:szCs w:val="20"/>
    </w:rPr>
  </w:style>
  <w:style w:type="paragraph" w:styleId="Revision">
    <w:name w:val="Revision"/>
    <w:hidden/>
    <w:uiPriority w:val="99"/>
    <w:semiHidden/>
    <w:rsid w:val="00936B15"/>
    <w:pPr>
      <w:spacing w:after="0" w:line="240" w:lineRule="auto"/>
    </w:pPr>
  </w:style>
  <w:style w:type="paragraph" w:styleId="Header">
    <w:name w:val="header"/>
    <w:basedOn w:val="Normal"/>
    <w:link w:val="HeaderChar"/>
    <w:uiPriority w:val="99"/>
    <w:unhideWhenUsed/>
    <w:rsid w:val="000F441A"/>
    <w:pPr>
      <w:tabs>
        <w:tab w:val="center" w:pos="4677"/>
        <w:tab w:val="right" w:pos="9355"/>
      </w:tabs>
      <w:spacing w:after="0" w:line="240" w:lineRule="auto"/>
    </w:pPr>
  </w:style>
  <w:style w:type="character" w:customStyle="1" w:styleId="HeaderChar">
    <w:name w:val="Header Char"/>
    <w:basedOn w:val="DefaultParagraphFont"/>
    <w:link w:val="Header"/>
    <w:uiPriority w:val="99"/>
    <w:rsid w:val="000F441A"/>
  </w:style>
  <w:style w:type="paragraph" w:styleId="Footer">
    <w:name w:val="footer"/>
    <w:basedOn w:val="Normal"/>
    <w:link w:val="FooterChar"/>
    <w:uiPriority w:val="99"/>
    <w:unhideWhenUsed/>
    <w:rsid w:val="000F441A"/>
    <w:pPr>
      <w:tabs>
        <w:tab w:val="center" w:pos="4677"/>
        <w:tab w:val="right" w:pos="9355"/>
      </w:tabs>
      <w:spacing w:after="0" w:line="240" w:lineRule="auto"/>
    </w:pPr>
  </w:style>
  <w:style w:type="character" w:customStyle="1" w:styleId="FooterChar">
    <w:name w:val="Footer Char"/>
    <w:basedOn w:val="DefaultParagraphFont"/>
    <w:link w:val="Footer"/>
    <w:uiPriority w:val="99"/>
    <w:rsid w:val="000F441A"/>
  </w:style>
  <w:style w:type="paragraph" w:styleId="BalloonText">
    <w:name w:val="Balloon Text"/>
    <w:basedOn w:val="Normal"/>
    <w:link w:val="BalloonTextChar"/>
    <w:uiPriority w:val="99"/>
    <w:semiHidden/>
    <w:unhideWhenUsed/>
    <w:rsid w:val="004375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5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8850">
      <w:bodyDiv w:val="1"/>
      <w:marLeft w:val="0"/>
      <w:marRight w:val="0"/>
      <w:marTop w:val="0"/>
      <w:marBottom w:val="0"/>
      <w:divBdr>
        <w:top w:val="none" w:sz="0" w:space="0" w:color="auto"/>
        <w:left w:val="none" w:sz="0" w:space="0" w:color="auto"/>
        <w:bottom w:val="none" w:sz="0" w:space="0" w:color="auto"/>
        <w:right w:val="none" w:sz="0" w:space="0" w:color="auto"/>
      </w:divBdr>
    </w:div>
    <w:div w:id="211502573">
      <w:bodyDiv w:val="1"/>
      <w:marLeft w:val="0"/>
      <w:marRight w:val="0"/>
      <w:marTop w:val="0"/>
      <w:marBottom w:val="0"/>
      <w:divBdr>
        <w:top w:val="none" w:sz="0" w:space="0" w:color="auto"/>
        <w:left w:val="none" w:sz="0" w:space="0" w:color="auto"/>
        <w:bottom w:val="none" w:sz="0" w:space="0" w:color="auto"/>
        <w:right w:val="none" w:sz="0" w:space="0" w:color="auto"/>
      </w:divBdr>
    </w:div>
    <w:div w:id="249823942">
      <w:bodyDiv w:val="1"/>
      <w:marLeft w:val="0"/>
      <w:marRight w:val="0"/>
      <w:marTop w:val="0"/>
      <w:marBottom w:val="0"/>
      <w:divBdr>
        <w:top w:val="none" w:sz="0" w:space="0" w:color="auto"/>
        <w:left w:val="none" w:sz="0" w:space="0" w:color="auto"/>
        <w:bottom w:val="none" w:sz="0" w:space="0" w:color="auto"/>
        <w:right w:val="none" w:sz="0" w:space="0" w:color="auto"/>
      </w:divBdr>
    </w:div>
    <w:div w:id="364989897">
      <w:bodyDiv w:val="1"/>
      <w:marLeft w:val="0"/>
      <w:marRight w:val="0"/>
      <w:marTop w:val="0"/>
      <w:marBottom w:val="0"/>
      <w:divBdr>
        <w:top w:val="none" w:sz="0" w:space="0" w:color="auto"/>
        <w:left w:val="none" w:sz="0" w:space="0" w:color="auto"/>
        <w:bottom w:val="none" w:sz="0" w:space="0" w:color="auto"/>
        <w:right w:val="none" w:sz="0" w:space="0" w:color="auto"/>
      </w:divBdr>
    </w:div>
    <w:div w:id="415640254">
      <w:bodyDiv w:val="1"/>
      <w:marLeft w:val="0"/>
      <w:marRight w:val="0"/>
      <w:marTop w:val="0"/>
      <w:marBottom w:val="0"/>
      <w:divBdr>
        <w:top w:val="none" w:sz="0" w:space="0" w:color="auto"/>
        <w:left w:val="none" w:sz="0" w:space="0" w:color="auto"/>
        <w:bottom w:val="none" w:sz="0" w:space="0" w:color="auto"/>
        <w:right w:val="none" w:sz="0" w:space="0" w:color="auto"/>
      </w:divBdr>
    </w:div>
    <w:div w:id="421070423">
      <w:bodyDiv w:val="1"/>
      <w:marLeft w:val="0"/>
      <w:marRight w:val="0"/>
      <w:marTop w:val="0"/>
      <w:marBottom w:val="0"/>
      <w:divBdr>
        <w:top w:val="none" w:sz="0" w:space="0" w:color="auto"/>
        <w:left w:val="none" w:sz="0" w:space="0" w:color="auto"/>
        <w:bottom w:val="none" w:sz="0" w:space="0" w:color="auto"/>
        <w:right w:val="none" w:sz="0" w:space="0" w:color="auto"/>
      </w:divBdr>
    </w:div>
    <w:div w:id="614018110">
      <w:bodyDiv w:val="1"/>
      <w:marLeft w:val="0"/>
      <w:marRight w:val="0"/>
      <w:marTop w:val="0"/>
      <w:marBottom w:val="0"/>
      <w:divBdr>
        <w:top w:val="none" w:sz="0" w:space="0" w:color="auto"/>
        <w:left w:val="none" w:sz="0" w:space="0" w:color="auto"/>
        <w:bottom w:val="none" w:sz="0" w:space="0" w:color="auto"/>
        <w:right w:val="none" w:sz="0" w:space="0" w:color="auto"/>
      </w:divBdr>
    </w:div>
    <w:div w:id="736052488">
      <w:bodyDiv w:val="1"/>
      <w:marLeft w:val="0"/>
      <w:marRight w:val="0"/>
      <w:marTop w:val="0"/>
      <w:marBottom w:val="0"/>
      <w:divBdr>
        <w:top w:val="none" w:sz="0" w:space="0" w:color="auto"/>
        <w:left w:val="none" w:sz="0" w:space="0" w:color="auto"/>
        <w:bottom w:val="none" w:sz="0" w:space="0" w:color="auto"/>
        <w:right w:val="none" w:sz="0" w:space="0" w:color="auto"/>
      </w:divBdr>
    </w:div>
    <w:div w:id="766388438">
      <w:bodyDiv w:val="1"/>
      <w:marLeft w:val="0"/>
      <w:marRight w:val="0"/>
      <w:marTop w:val="0"/>
      <w:marBottom w:val="0"/>
      <w:divBdr>
        <w:top w:val="none" w:sz="0" w:space="0" w:color="auto"/>
        <w:left w:val="none" w:sz="0" w:space="0" w:color="auto"/>
        <w:bottom w:val="none" w:sz="0" w:space="0" w:color="auto"/>
        <w:right w:val="none" w:sz="0" w:space="0" w:color="auto"/>
      </w:divBdr>
    </w:div>
    <w:div w:id="888154207">
      <w:bodyDiv w:val="1"/>
      <w:marLeft w:val="0"/>
      <w:marRight w:val="0"/>
      <w:marTop w:val="0"/>
      <w:marBottom w:val="0"/>
      <w:divBdr>
        <w:top w:val="none" w:sz="0" w:space="0" w:color="auto"/>
        <w:left w:val="none" w:sz="0" w:space="0" w:color="auto"/>
        <w:bottom w:val="none" w:sz="0" w:space="0" w:color="auto"/>
        <w:right w:val="none" w:sz="0" w:space="0" w:color="auto"/>
      </w:divBdr>
    </w:div>
    <w:div w:id="927083233">
      <w:bodyDiv w:val="1"/>
      <w:marLeft w:val="0"/>
      <w:marRight w:val="0"/>
      <w:marTop w:val="0"/>
      <w:marBottom w:val="0"/>
      <w:divBdr>
        <w:top w:val="none" w:sz="0" w:space="0" w:color="auto"/>
        <w:left w:val="none" w:sz="0" w:space="0" w:color="auto"/>
        <w:bottom w:val="none" w:sz="0" w:space="0" w:color="auto"/>
        <w:right w:val="none" w:sz="0" w:space="0" w:color="auto"/>
      </w:divBdr>
    </w:div>
    <w:div w:id="1014772120">
      <w:bodyDiv w:val="1"/>
      <w:marLeft w:val="0"/>
      <w:marRight w:val="0"/>
      <w:marTop w:val="0"/>
      <w:marBottom w:val="0"/>
      <w:divBdr>
        <w:top w:val="none" w:sz="0" w:space="0" w:color="auto"/>
        <w:left w:val="none" w:sz="0" w:space="0" w:color="auto"/>
        <w:bottom w:val="none" w:sz="0" w:space="0" w:color="auto"/>
        <w:right w:val="none" w:sz="0" w:space="0" w:color="auto"/>
      </w:divBdr>
    </w:div>
    <w:div w:id="1026054703">
      <w:bodyDiv w:val="1"/>
      <w:marLeft w:val="0"/>
      <w:marRight w:val="0"/>
      <w:marTop w:val="0"/>
      <w:marBottom w:val="0"/>
      <w:divBdr>
        <w:top w:val="none" w:sz="0" w:space="0" w:color="auto"/>
        <w:left w:val="none" w:sz="0" w:space="0" w:color="auto"/>
        <w:bottom w:val="none" w:sz="0" w:space="0" w:color="auto"/>
        <w:right w:val="none" w:sz="0" w:space="0" w:color="auto"/>
      </w:divBdr>
    </w:div>
    <w:div w:id="1034383486">
      <w:bodyDiv w:val="1"/>
      <w:marLeft w:val="0"/>
      <w:marRight w:val="0"/>
      <w:marTop w:val="0"/>
      <w:marBottom w:val="0"/>
      <w:divBdr>
        <w:top w:val="none" w:sz="0" w:space="0" w:color="auto"/>
        <w:left w:val="none" w:sz="0" w:space="0" w:color="auto"/>
        <w:bottom w:val="none" w:sz="0" w:space="0" w:color="auto"/>
        <w:right w:val="none" w:sz="0" w:space="0" w:color="auto"/>
      </w:divBdr>
    </w:div>
    <w:div w:id="1042367789">
      <w:bodyDiv w:val="1"/>
      <w:marLeft w:val="0"/>
      <w:marRight w:val="0"/>
      <w:marTop w:val="0"/>
      <w:marBottom w:val="0"/>
      <w:divBdr>
        <w:top w:val="none" w:sz="0" w:space="0" w:color="auto"/>
        <w:left w:val="none" w:sz="0" w:space="0" w:color="auto"/>
        <w:bottom w:val="none" w:sz="0" w:space="0" w:color="auto"/>
        <w:right w:val="none" w:sz="0" w:space="0" w:color="auto"/>
      </w:divBdr>
      <w:divsChild>
        <w:div w:id="1545604902">
          <w:marLeft w:val="0"/>
          <w:marRight w:val="0"/>
          <w:marTop w:val="0"/>
          <w:marBottom w:val="0"/>
          <w:divBdr>
            <w:top w:val="none" w:sz="0" w:space="0" w:color="auto"/>
            <w:left w:val="none" w:sz="0" w:space="0" w:color="auto"/>
            <w:bottom w:val="none" w:sz="0" w:space="0" w:color="auto"/>
            <w:right w:val="none" w:sz="0" w:space="0" w:color="auto"/>
          </w:divBdr>
        </w:div>
      </w:divsChild>
    </w:div>
    <w:div w:id="1191801472">
      <w:bodyDiv w:val="1"/>
      <w:marLeft w:val="0"/>
      <w:marRight w:val="0"/>
      <w:marTop w:val="0"/>
      <w:marBottom w:val="0"/>
      <w:divBdr>
        <w:top w:val="none" w:sz="0" w:space="0" w:color="auto"/>
        <w:left w:val="none" w:sz="0" w:space="0" w:color="auto"/>
        <w:bottom w:val="none" w:sz="0" w:space="0" w:color="auto"/>
        <w:right w:val="none" w:sz="0" w:space="0" w:color="auto"/>
      </w:divBdr>
    </w:div>
    <w:div w:id="1334575763">
      <w:bodyDiv w:val="1"/>
      <w:marLeft w:val="0"/>
      <w:marRight w:val="0"/>
      <w:marTop w:val="0"/>
      <w:marBottom w:val="0"/>
      <w:divBdr>
        <w:top w:val="none" w:sz="0" w:space="0" w:color="auto"/>
        <w:left w:val="none" w:sz="0" w:space="0" w:color="auto"/>
        <w:bottom w:val="none" w:sz="0" w:space="0" w:color="auto"/>
        <w:right w:val="none" w:sz="0" w:space="0" w:color="auto"/>
      </w:divBdr>
    </w:div>
    <w:div w:id="1380009736">
      <w:bodyDiv w:val="1"/>
      <w:marLeft w:val="0"/>
      <w:marRight w:val="0"/>
      <w:marTop w:val="0"/>
      <w:marBottom w:val="0"/>
      <w:divBdr>
        <w:top w:val="none" w:sz="0" w:space="0" w:color="auto"/>
        <w:left w:val="none" w:sz="0" w:space="0" w:color="auto"/>
        <w:bottom w:val="none" w:sz="0" w:space="0" w:color="auto"/>
        <w:right w:val="none" w:sz="0" w:space="0" w:color="auto"/>
      </w:divBdr>
    </w:div>
    <w:div w:id="1428378779">
      <w:bodyDiv w:val="1"/>
      <w:marLeft w:val="0"/>
      <w:marRight w:val="0"/>
      <w:marTop w:val="0"/>
      <w:marBottom w:val="0"/>
      <w:divBdr>
        <w:top w:val="none" w:sz="0" w:space="0" w:color="auto"/>
        <w:left w:val="none" w:sz="0" w:space="0" w:color="auto"/>
        <w:bottom w:val="none" w:sz="0" w:space="0" w:color="auto"/>
        <w:right w:val="none" w:sz="0" w:space="0" w:color="auto"/>
      </w:divBdr>
    </w:div>
    <w:div w:id="1563710449">
      <w:bodyDiv w:val="1"/>
      <w:marLeft w:val="0"/>
      <w:marRight w:val="0"/>
      <w:marTop w:val="0"/>
      <w:marBottom w:val="0"/>
      <w:divBdr>
        <w:top w:val="none" w:sz="0" w:space="0" w:color="auto"/>
        <w:left w:val="none" w:sz="0" w:space="0" w:color="auto"/>
        <w:bottom w:val="none" w:sz="0" w:space="0" w:color="auto"/>
        <w:right w:val="none" w:sz="0" w:space="0" w:color="auto"/>
      </w:divBdr>
      <w:divsChild>
        <w:div w:id="1459685954">
          <w:marLeft w:val="0"/>
          <w:marRight w:val="0"/>
          <w:marTop w:val="0"/>
          <w:marBottom w:val="0"/>
          <w:divBdr>
            <w:top w:val="none" w:sz="0" w:space="0" w:color="auto"/>
            <w:left w:val="none" w:sz="0" w:space="0" w:color="auto"/>
            <w:bottom w:val="none" w:sz="0" w:space="0" w:color="auto"/>
            <w:right w:val="none" w:sz="0" w:space="0" w:color="auto"/>
          </w:divBdr>
        </w:div>
      </w:divsChild>
    </w:div>
    <w:div w:id="1574973272">
      <w:bodyDiv w:val="1"/>
      <w:marLeft w:val="0"/>
      <w:marRight w:val="0"/>
      <w:marTop w:val="0"/>
      <w:marBottom w:val="0"/>
      <w:divBdr>
        <w:top w:val="none" w:sz="0" w:space="0" w:color="auto"/>
        <w:left w:val="none" w:sz="0" w:space="0" w:color="auto"/>
        <w:bottom w:val="none" w:sz="0" w:space="0" w:color="auto"/>
        <w:right w:val="none" w:sz="0" w:space="0" w:color="auto"/>
      </w:divBdr>
    </w:div>
    <w:div w:id="1664506181">
      <w:bodyDiv w:val="1"/>
      <w:marLeft w:val="0"/>
      <w:marRight w:val="0"/>
      <w:marTop w:val="0"/>
      <w:marBottom w:val="0"/>
      <w:divBdr>
        <w:top w:val="none" w:sz="0" w:space="0" w:color="auto"/>
        <w:left w:val="none" w:sz="0" w:space="0" w:color="auto"/>
        <w:bottom w:val="none" w:sz="0" w:space="0" w:color="auto"/>
        <w:right w:val="none" w:sz="0" w:space="0" w:color="auto"/>
      </w:divBdr>
    </w:div>
    <w:div w:id="1702781963">
      <w:bodyDiv w:val="1"/>
      <w:marLeft w:val="0"/>
      <w:marRight w:val="0"/>
      <w:marTop w:val="0"/>
      <w:marBottom w:val="0"/>
      <w:divBdr>
        <w:top w:val="none" w:sz="0" w:space="0" w:color="auto"/>
        <w:left w:val="none" w:sz="0" w:space="0" w:color="auto"/>
        <w:bottom w:val="none" w:sz="0" w:space="0" w:color="auto"/>
        <w:right w:val="none" w:sz="0" w:space="0" w:color="auto"/>
      </w:divBdr>
    </w:div>
    <w:div w:id="1713075053">
      <w:bodyDiv w:val="1"/>
      <w:marLeft w:val="0"/>
      <w:marRight w:val="0"/>
      <w:marTop w:val="0"/>
      <w:marBottom w:val="0"/>
      <w:divBdr>
        <w:top w:val="none" w:sz="0" w:space="0" w:color="auto"/>
        <w:left w:val="none" w:sz="0" w:space="0" w:color="auto"/>
        <w:bottom w:val="none" w:sz="0" w:space="0" w:color="auto"/>
        <w:right w:val="none" w:sz="0" w:space="0" w:color="auto"/>
      </w:divBdr>
    </w:div>
    <w:div w:id="1827889882">
      <w:bodyDiv w:val="1"/>
      <w:marLeft w:val="0"/>
      <w:marRight w:val="0"/>
      <w:marTop w:val="0"/>
      <w:marBottom w:val="0"/>
      <w:divBdr>
        <w:top w:val="none" w:sz="0" w:space="0" w:color="auto"/>
        <w:left w:val="none" w:sz="0" w:space="0" w:color="auto"/>
        <w:bottom w:val="none" w:sz="0" w:space="0" w:color="auto"/>
        <w:right w:val="none" w:sz="0" w:space="0" w:color="auto"/>
      </w:divBdr>
    </w:div>
    <w:div w:id="1843156961">
      <w:bodyDiv w:val="1"/>
      <w:marLeft w:val="0"/>
      <w:marRight w:val="0"/>
      <w:marTop w:val="0"/>
      <w:marBottom w:val="0"/>
      <w:divBdr>
        <w:top w:val="none" w:sz="0" w:space="0" w:color="auto"/>
        <w:left w:val="none" w:sz="0" w:space="0" w:color="auto"/>
        <w:bottom w:val="none" w:sz="0" w:space="0" w:color="auto"/>
        <w:right w:val="none" w:sz="0" w:space="0" w:color="auto"/>
      </w:divBdr>
    </w:div>
    <w:div w:id="2023630091">
      <w:bodyDiv w:val="1"/>
      <w:marLeft w:val="0"/>
      <w:marRight w:val="0"/>
      <w:marTop w:val="0"/>
      <w:marBottom w:val="0"/>
      <w:divBdr>
        <w:top w:val="none" w:sz="0" w:space="0" w:color="auto"/>
        <w:left w:val="none" w:sz="0" w:space="0" w:color="auto"/>
        <w:bottom w:val="none" w:sz="0" w:space="0" w:color="auto"/>
        <w:right w:val="none" w:sz="0" w:space="0" w:color="auto"/>
      </w:divBdr>
      <w:divsChild>
        <w:div w:id="1757290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4E297-B971-4173-B174-AAC16623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2026-05-08T13:14:00Z</dcterms:created>
  <dcterms:modified xsi:type="dcterms:W3CDTF">2026-06-22T11:46:00Z</dcterms:modified>
</cp:coreProperties>
</file>