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98EE" w14:textId="77777777" w:rsidR="00DF565B" w:rsidRPr="00DF565B" w:rsidRDefault="00DF565B" w:rsidP="00DF565B">
      <w:pPr>
        <w:spacing w:after="120"/>
        <w:jc w:val="center"/>
        <w:rPr>
          <w:rFonts w:ascii="GHEA Grapalat" w:hAnsi="GHEA Grapalat"/>
          <w:b/>
          <w:bCs/>
          <w:lang w:val="hy-AM"/>
        </w:rPr>
      </w:pPr>
      <w:r w:rsidRPr="00DF565B">
        <w:rPr>
          <w:rFonts w:ascii="GHEA Grapalat" w:hAnsi="GHEA Grapalat" w:cs="Sylfaen"/>
          <w:b/>
          <w:bCs/>
          <w:lang w:val="hy-AM"/>
        </w:rPr>
        <w:t>ՏԵՂԵԿԱՆՔ</w:t>
      </w:r>
    </w:p>
    <w:p w14:paraId="2710AD51" w14:textId="77777777" w:rsidR="00DF565B" w:rsidRPr="00DF565B" w:rsidRDefault="00DF565B" w:rsidP="00DF565B">
      <w:pPr>
        <w:pStyle w:val="NoSpacing"/>
        <w:jc w:val="center"/>
        <w:rPr>
          <w:rFonts w:ascii="GHEA Grapalat" w:hAnsi="GHEA Grapalat"/>
          <w:b/>
          <w:bCs/>
          <w:lang w:val="hy-AM"/>
        </w:rPr>
      </w:pPr>
      <w:r w:rsidRPr="00DF565B">
        <w:rPr>
          <w:rFonts w:ascii="GHEA Grapalat" w:hAnsi="GHEA Grapalat"/>
          <w:b/>
          <w:bCs/>
          <w:lang w:val="de-DE"/>
        </w:rPr>
        <w:t>«</w:t>
      </w:r>
      <w:r w:rsidRPr="00DF565B">
        <w:rPr>
          <w:rFonts w:ascii="GHEA Grapalat" w:hAnsi="GHEA Grapalat"/>
          <w:b/>
          <w:bCs/>
          <w:lang w:val="hy-AM"/>
        </w:rPr>
        <w:t>Ե</w:t>
      </w:r>
      <w:proofErr w:type="spellStart"/>
      <w:r w:rsidRPr="00DF565B">
        <w:rPr>
          <w:rFonts w:ascii="GHEA Grapalat" w:hAnsi="GHEA Grapalat"/>
          <w:b/>
          <w:bCs/>
        </w:rPr>
        <w:t>րևանի</w:t>
      </w:r>
      <w:proofErr w:type="spellEnd"/>
      <w:r w:rsidRPr="00DF565B">
        <w:rPr>
          <w:rFonts w:ascii="GHEA Grapalat" w:hAnsi="GHEA Grapalat" w:cs="IRTEK Courier"/>
          <w:b/>
          <w:bCs/>
          <w:lang w:val="de-DE"/>
        </w:rPr>
        <w:t xml:space="preserve"> </w:t>
      </w:r>
      <w:proofErr w:type="spellStart"/>
      <w:r w:rsidRPr="00DF565B">
        <w:rPr>
          <w:rFonts w:ascii="GHEA Grapalat" w:hAnsi="GHEA Grapalat"/>
          <w:b/>
          <w:bCs/>
        </w:rPr>
        <w:t>քաղաքապետին</w:t>
      </w:r>
      <w:proofErr w:type="spellEnd"/>
      <w:r w:rsidRPr="00DF565B">
        <w:rPr>
          <w:rFonts w:ascii="GHEA Grapalat" w:hAnsi="GHEA Grapalat"/>
          <w:b/>
          <w:bCs/>
          <w:lang w:val="de-DE"/>
        </w:rPr>
        <w:t xml:space="preserve"> </w:t>
      </w:r>
      <w:proofErr w:type="spellStart"/>
      <w:r w:rsidRPr="00DF565B">
        <w:rPr>
          <w:rFonts w:ascii="GHEA Grapalat" w:hAnsi="GHEA Grapalat"/>
          <w:b/>
          <w:bCs/>
        </w:rPr>
        <w:t>պետության</w:t>
      </w:r>
      <w:proofErr w:type="spellEnd"/>
      <w:r w:rsidRPr="00DF565B">
        <w:rPr>
          <w:rFonts w:ascii="GHEA Grapalat" w:hAnsi="GHEA Grapalat"/>
          <w:b/>
          <w:bCs/>
          <w:lang w:val="de-DE"/>
        </w:rPr>
        <w:t xml:space="preserve"> </w:t>
      </w:r>
      <w:r w:rsidRPr="00DF565B">
        <w:rPr>
          <w:rFonts w:ascii="GHEA Grapalat" w:hAnsi="GHEA Grapalat"/>
          <w:b/>
          <w:bCs/>
        </w:rPr>
        <w:t>և</w:t>
      </w:r>
      <w:r w:rsidRPr="00DF565B">
        <w:rPr>
          <w:rFonts w:ascii="GHEA Grapalat" w:hAnsi="GHEA Grapalat"/>
          <w:b/>
          <w:bCs/>
          <w:lang w:val="de-DE"/>
        </w:rPr>
        <w:t xml:space="preserve"> </w:t>
      </w:r>
      <w:proofErr w:type="spellStart"/>
      <w:r w:rsidRPr="00DF565B">
        <w:rPr>
          <w:rFonts w:ascii="GHEA Grapalat" w:hAnsi="GHEA Grapalat"/>
          <w:b/>
          <w:bCs/>
        </w:rPr>
        <w:t>ձեռքբերողի</w:t>
      </w:r>
      <w:proofErr w:type="spellEnd"/>
      <w:r w:rsidRPr="00DF565B">
        <w:rPr>
          <w:rFonts w:ascii="GHEA Grapalat" w:hAnsi="GHEA Grapalat"/>
          <w:b/>
          <w:bCs/>
          <w:lang w:val="de-DE"/>
        </w:rPr>
        <w:t xml:space="preserve"> </w:t>
      </w:r>
      <w:proofErr w:type="spellStart"/>
      <w:r w:rsidRPr="00DF565B">
        <w:rPr>
          <w:rFonts w:ascii="GHEA Grapalat" w:hAnsi="GHEA Grapalat"/>
          <w:b/>
          <w:bCs/>
        </w:rPr>
        <w:t>իրավունքները</w:t>
      </w:r>
      <w:proofErr w:type="spellEnd"/>
      <w:r w:rsidRPr="00DF565B">
        <w:rPr>
          <w:rFonts w:ascii="GHEA Grapalat" w:hAnsi="GHEA Grapalat"/>
          <w:b/>
          <w:bCs/>
          <w:lang w:val="de-DE"/>
        </w:rPr>
        <w:t xml:space="preserve">, </w:t>
      </w:r>
      <w:proofErr w:type="spellStart"/>
      <w:r w:rsidRPr="00DF565B">
        <w:rPr>
          <w:rFonts w:ascii="GHEA Grapalat" w:hAnsi="GHEA Grapalat"/>
          <w:b/>
          <w:bCs/>
        </w:rPr>
        <w:t>պարտականություններն</w:t>
      </w:r>
      <w:proofErr w:type="spellEnd"/>
      <w:r w:rsidRPr="00DF565B">
        <w:rPr>
          <w:rFonts w:ascii="GHEA Grapalat" w:hAnsi="GHEA Grapalat"/>
          <w:b/>
          <w:bCs/>
          <w:lang w:val="de-DE"/>
        </w:rPr>
        <w:t xml:space="preserve"> </w:t>
      </w:r>
      <w:proofErr w:type="spellStart"/>
      <w:r w:rsidRPr="00DF565B">
        <w:rPr>
          <w:rFonts w:ascii="GHEA Grapalat" w:hAnsi="GHEA Grapalat"/>
          <w:b/>
          <w:bCs/>
        </w:rPr>
        <w:t>ու</w:t>
      </w:r>
      <w:proofErr w:type="spellEnd"/>
      <w:r w:rsidRPr="00DF565B">
        <w:rPr>
          <w:rFonts w:ascii="GHEA Grapalat" w:hAnsi="GHEA Grapalat"/>
          <w:b/>
          <w:bCs/>
          <w:lang w:val="de-DE"/>
        </w:rPr>
        <w:t xml:space="preserve"> </w:t>
      </w:r>
      <w:proofErr w:type="spellStart"/>
      <w:r w:rsidRPr="00DF565B">
        <w:rPr>
          <w:rFonts w:ascii="GHEA Grapalat" w:hAnsi="GHEA Grapalat"/>
          <w:b/>
          <w:bCs/>
        </w:rPr>
        <w:t>պատասխանատվությունը</w:t>
      </w:r>
      <w:proofErr w:type="spellEnd"/>
      <w:r w:rsidRPr="00DF565B">
        <w:rPr>
          <w:rFonts w:ascii="GHEA Grapalat" w:hAnsi="GHEA Grapalat"/>
          <w:b/>
          <w:bCs/>
          <w:lang w:val="de-DE"/>
        </w:rPr>
        <w:t xml:space="preserve"> </w:t>
      </w:r>
      <w:proofErr w:type="spellStart"/>
      <w:r w:rsidRPr="00DF565B">
        <w:rPr>
          <w:rFonts w:ascii="GHEA Grapalat" w:hAnsi="GHEA Grapalat"/>
          <w:b/>
          <w:bCs/>
        </w:rPr>
        <w:t>սահմանող</w:t>
      </w:r>
      <w:proofErr w:type="spellEnd"/>
      <w:r w:rsidRPr="00DF565B">
        <w:rPr>
          <w:rFonts w:ascii="GHEA Grapalat" w:hAnsi="GHEA Grapalat"/>
          <w:b/>
          <w:bCs/>
          <w:lang w:val="de-DE"/>
        </w:rPr>
        <w:t xml:space="preserve"> </w:t>
      </w:r>
      <w:proofErr w:type="spellStart"/>
      <w:r w:rsidRPr="00DF565B">
        <w:rPr>
          <w:rFonts w:ascii="GHEA Grapalat" w:hAnsi="GHEA Grapalat"/>
          <w:b/>
          <w:bCs/>
        </w:rPr>
        <w:t>պայմանագ</w:t>
      </w:r>
      <w:r w:rsidRPr="00DF565B">
        <w:rPr>
          <w:rFonts w:ascii="GHEA Grapalat" w:hAnsi="GHEA Grapalat"/>
          <w:b/>
          <w:bCs/>
          <w:lang w:val="en-US"/>
        </w:rPr>
        <w:t>իր</w:t>
      </w:r>
      <w:proofErr w:type="spellEnd"/>
      <w:r w:rsidRPr="00DF565B">
        <w:rPr>
          <w:rFonts w:ascii="GHEA Grapalat" w:hAnsi="GHEA Grapalat"/>
          <w:b/>
          <w:bCs/>
          <w:lang w:val="de-DE"/>
        </w:rPr>
        <w:t xml:space="preserve"> </w:t>
      </w:r>
      <w:proofErr w:type="spellStart"/>
      <w:r w:rsidRPr="00DF565B">
        <w:rPr>
          <w:rFonts w:ascii="GHEA Grapalat" w:hAnsi="GHEA Grapalat"/>
          <w:b/>
          <w:bCs/>
          <w:lang w:val="en-US"/>
        </w:rPr>
        <w:t>կնքելու</w:t>
      </w:r>
      <w:proofErr w:type="spellEnd"/>
      <w:r w:rsidRPr="00DF565B">
        <w:rPr>
          <w:rFonts w:ascii="GHEA Grapalat" w:hAnsi="GHEA Grapalat" w:cs="IRTEK Courier"/>
          <w:b/>
          <w:bCs/>
          <w:lang w:val="de-DE"/>
        </w:rPr>
        <w:t xml:space="preserve"> </w:t>
      </w:r>
      <w:proofErr w:type="spellStart"/>
      <w:r w:rsidRPr="00DF565B">
        <w:rPr>
          <w:rFonts w:ascii="GHEA Grapalat" w:hAnsi="GHEA Grapalat"/>
          <w:b/>
          <w:bCs/>
        </w:rPr>
        <w:t>լիազորություն</w:t>
      </w:r>
      <w:proofErr w:type="spellEnd"/>
      <w:r w:rsidRPr="00DF565B">
        <w:rPr>
          <w:rFonts w:ascii="GHEA Grapalat" w:hAnsi="GHEA Grapalat" w:cs="IRTEK Courier"/>
          <w:b/>
          <w:bCs/>
          <w:lang w:val="de-DE"/>
        </w:rPr>
        <w:t xml:space="preserve"> </w:t>
      </w:r>
      <w:proofErr w:type="spellStart"/>
      <w:r w:rsidRPr="00DF565B">
        <w:rPr>
          <w:rFonts w:ascii="GHEA Grapalat" w:hAnsi="GHEA Grapalat"/>
          <w:b/>
          <w:bCs/>
        </w:rPr>
        <w:t>վերապահելու</w:t>
      </w:r>
      <w:proofErr w:type="spellEnd"/>
      <w:r w:rsidRPr="00DF565B">
        <w:rPr>
          <w:rFonts w:ascii="GHEA Grapalat" w:hAnsi="GHEA Grapalat" w:cs="IRTEK Courier"/>
          <w:b/>
          <w:bCs/>
          <w:lang w:val="de-DE"/>
        </w:rPr>
        <w:t xml:space="preserve"> </w:t>
      </w:r>
      <w:proofErr w:type="spellStart"/>
      <w:r w:rsidRPr="00DF565B">
        <w:rPr>
          <w:rFonts w:ascii="GHEA Grapalat" w:hAnsi="GHEA Grapalat"/>
          <w:b/>
          <w:bCs/>
        </w:rPr>
        <w:t>մա</w:t>
      </w:r>
      <w:proofErr w:type="spellEnd"/>
      <w:r w:rsidRPr="00DF565B">
        <w:rPr>
          <w:rFonts w:ascii="GHEA Grapalat" w:hAnsi="GHEA Grapalat"/>
          <w:b/>
          <w:bCs/>
          <w:lang w:val="en-US"/>
        </w:rPr>
        <w:t>ս</w:t>
      </w:r>
      <w:proofErr w:type="spellStart"/>
      <w:r w:rsidRPr="00DF565B">
        <w:rPr>
          <w:rFonts w:ascii="GHEA Grapalat" w:hAnsi="GHEA Grapalat"/>
          <w:b/>
          <w:bCs/>
        </w:rPr>
        <w:t>ին</w:t>
      </w:r>
      <w:proofErr w:type="spellEnd"/>
      <w:r w:rsidRPr="00DF565B">
        <w:rPr>
          <w:rFonts w:ascii="GHEA Grapalat" w:hAnsi="GHEA Grapalat"/>
          <w:b/>
          <w:bCs/>
          <w:lang w:val="de-DE"/>
        </w:rPr>
        <w:t>» Հ</w:t>
      </w:r>
      <w:proofErr w:type="spellStart"/>
      <w:r w:rsidRPr="00DF565B">
        <w:rPr>
          <w:rFonts w:ascii="GHEA Grapalat" w:hAnsi="GHEA Grapalat"/>
          <w:b/>
          <w:bCs/>
        </w:rPr>
        <w:t>այա</w:t>
      </w:r>
      <w:proofErr w:type="spellEnd"/>
      <w:r w:rsidRPr="00DF565B">
        <w:rPr>
          <w:rFonts w:ascii="GHEA Grapalat" w:hAnsi="GHEA Grapalat"/>
          <w:b/>
          <w:bCs/>
          <w:lang w:val="de-DE"/>
        </w:rPr>
        <w:t>u</w:t>
      </w:r>
      <w:proofErr w:type="spellStart"/>
      <w:r w:rsidRPr="00DF565B">
        <w:rPr>
          <w:rFonts w:ascii="GHEA Grapalat" w:hAnsi="GHEA Grapalat"/>
          <w:b/>
          <w:bCs/>
        </w:rPr>
        <w:t>տանի</w:t>
      </w:r>
      <w:proofErr w:type="spellEnd"/>
      <w:r w:rsidRPr="00DF565B">
        <w:rPr>
          <w:rFonts w:ascii="GHEA Grapalat" w:hAnsi="GHEA Grapalat"/>
          <w:b/>
          <w:bCs/>
          <w:lang w:val="de-DE"/>
        </w:rPr>
        <w:t xml:space="preserve"> </w:t>
      </w:r>
      <w:r w:rsidRPr="00DF565B">
        <w:rPr>
          <w:rFonts w:ascii="GHEA Grapalat" w:hAnsi="GHEA Grapalat"/>
          <w:b/>
          <w:bCs/>
          <w:lang w:val="hy-AM"/>
        </w:rPr>
        <w:t>Հ</w:t>
      </w:r>
      <w:proofErr w:type="spellStart"/>
      <w:r w:rsidRPr="00DF565B">
        <w:rPr>
          <w:rFonts w:ascii="GHEA Grapalat" w:hAnsi="GHEA Grapalat"/>
          <w:b/>
          <w:bCs/>
        </w:rPr>
        <w:t>անրապետության</w:t>
      </w:r>
      <w:proofErr w:type="spellEnd"/>
      <w:r w:rsidRPr="00DF565B">
        <w:rPr>
          <w:rFonts w:ascii="GHEA Grapalat" w:hAnsi="GHEA Grapalat"/>
          <w:b/>
          <w:bCs/>
          <w:lang w:val="de-DE"/>
        </w:rPr>
        <w:t xml:space="preserve"> </w:t>
      </w:r>
      <w:proofErr w:type="spellStart"/>
      <w:r w:rsidRPr="00DF565B">
        <w:rPr>
          <w:rFonts w:ascii="GHEA Grapalat" w:hAnsi="GHEA Grapalat"/>
          <w:b/>
          <w:bCs/>
          <w:lang w:val="de-DE"/>
        </w:rPr>
        <w:t>կառավարության</w:t>
      </w:r>
      <w:proofErr w:type="spellEnd"/>
      <w:r w:rsidRPr="00DF565B">
        <w:rPr>
          <w:rFonts w:ascii="GHEA Grapalat" w:hAnsi="GHEA Grapalat"/>
          <w:b/>
          <w:bCs/>
          <w:lang w:val="de-DE"/>
        </w:rPr>
        <w:t xml:space="preserve"> </w:t>
      </w:r>
      <w:proofErr w:type="spellStart"/>
      <w:r w:rsidRPr="00DF565B">
        <w:rPr>
          <w:rFonts w:ascii="GHEA Grapalat" w:hAnsi="GHEA Grapalat"/>
          <w:b/>
          <w:bCs/>
          <w:lang w:val="de-DE"/>
        </w:rPr>
        <w:t>որոշման</w:t>
      </w:r>
      <w:proofErr w:type="spellEnd"/>
      <w:r w:rsidRPr="00DF565B">
        <w:rPr>
          <w:rFonts w:ascii="GHEA Grapalat" w:hAnsi="GHEA Grapalat"/>
          <w:b/>
          <w:bCs/>
          <w:lang w:val="hy-AM"/>
        </w:rPr>
        <w:t xml:space="preserve"> նախագծի ընդունման անհրաժեշտության</w:t>
      </w:r>
    </w:p>
    <w:p w14:paraId="45D5C182" w14:textId="77777777" w:rsidR="00DF565B" w:rsidRPr="00DF565B" w:rsidRDefault="00DF565B" w:rsidP="00DF565B">
      <w:pPr>
        <w:pStyle w:val="NoSpacing"/>
        <w:jc w:val="center"/>
        <w:rPr>
          <w:rFonts w:ascii="GHEA Grapalat" w:hAnsi="GHEA Grapalat"/>
          <w:b/>
          <w:bCs/>
          <w:lang w:val="hy-AM"/>
        </w:rPr>
      </w:pPr>
    </w:p>
    <w:p w14:paraId="346D8433" w14:textId="77777777" w:rsidR="00DF565B" w:rsidRPr="00DF565B" w:rsidRDefault="00DF565B" w:rsidP="00DF565B">
      <w:pPr>
        <w:pStyle w:val="NoSpacing"/>
        <w:ind w:firstLine="360"/>
        <w:rPr>
          <w:rFonts w:ascii="GHEA Grapalat" w:hAnsi="GHEA Grapalat"/>
          <w:lang w:val="hy-AM"/>
        </w:rPr>
      </w:pPr>
      <w:r w:rsidRPr="00DF565B">
        <w:rPr>
          <w:rFonts w:ascii="GHEA Grapalat" w:hAnsi="GHEA Grapalat"/>
          <w:lang w:val="hy-AM"/>
        </w:rPr>
        <w:t xml:space="preserve">Գլխավոր պողոտայի՝ Աբովյան, Փավստոս Բուզանդի, Եզնիկ Կողբացու և Արամի փողոցներով պարփակված տարածքներում առկա է եղել մոտ 151 գույք: ՀՀ կառավարության 27.12.2018թ. N 1528-Ն որոշմամբ  կայացման պահին տարածքում առկա է եղել արդեն 49 միավոր գույք («Երևանի կառուցապատման ներդրումային ծրագրերի իրականացման գրասենյակ» ՀՈԱԿ-ի կողմից ՀՀ կառավարության 27.12.2018 թվականի N 1528-Ն որոշման հիման վրա կազմվել է թվով 49 գույքի նկարագրության արձանագրություն) և ՀՀ կառավարության 28.08.2025թ. N 1218-Ն որոշմամբ հանրային գերակա շահ է ճանաչվել ևս 4 միավոր գույքի նկատմամբ:    </w:t>
      </w:r>
    </w:p>
    <w:p w14:paraId="6875688C" w14:textId="77777777" w:rsidR="00DF565B" w:rsidRPr="00DF565B" w:rsidRDefault="00DF565B" w:rsidP="00DF565B">
      <w:pPr>
        <w:pStyle w:val="NoSpacing"/>
        <w:ind w:firstLine="360"/>
        <w:rPr>
          <w:rFonts w:ascii="GHEA Grapalat" w:hAnsi="GHEA Grapalat"/>
          <w:lang w:val="hy-AM"/>
        </w:rPr>
      </w:pPr>
      <w:r w:rsidRPr="00DF565B">
        <w:rPr>
          <w:rFonts w:ascii="GHEA Grapalat" w:hAnsi="GHEA Grapalat"/>
          <w:lang w:val="hy-AM"/>
        </w:rPr>
        <w:t>«Ի ԷՄ ՍԻ» ՓԲԸ-ի կողմից Որոշման կատարման շրջանակներում օտարման առաջարկները ներկայացվել են Որոշմամբ թվարկված բոլոր հասցեների սեփականատերերին և գույքային իրավունք ունեցողներին: Նրանց մի մասի հետ կնքվել են օտարման պայմանագրեր, մնացած մասով փոխհատուցման գումարները դրվել են դեպոզիտ, և հարուցվել են դատական կարգով օտարման հայցեր:</w:t>
      </w:r>
    </w:p>
    <w:p w14:paraId="7B38C2C2" w14:textId="77777777" w:rsidR="00DF565B" w:rsidRPr="00DF565B" w:rsidRDefault="00DF565B" w:rsidP="00DF565B">
      <w:pPr>
        <w:pStyle w:val="NoSpacing"/>
        <w:ind w:firstLine="360"/>
        <w:rPr>
          <w:rFonts w:ascii="GHEA Grapalat" w:hAnsi="GHEA Grapalat" w:cs="Calibri"/>
          <w:lang w:val="hy-AM"/>
        </w:rPr>
      </w:pPr>
      <w:r w:rsidRPr="00DF565B">
        <w:rPr>
          <w:rFonts w:ascii="GHEA Grapalat" w:hAnsi="GHEA Grapalat"/>
          <w:lang w:val="hy-AM"/>
        </w:rPr>
        <w:t>Կողբացի 22 հասցեի սեփականատեր է հանդիացել Անտոնիո Մոնտալտոն: 15.04.2019թ-ին կազմվել է նշված գույքի նկարագրության արձանագրությունը:  Որոշմամբ սահմանված կարգով և ժամկետներում սեփականատիրոջն է ներկայացվել գույքի օտարման պայմանագրի նախագիծ, սակայն փոխադարձ համաձայնությամբ այն չի կնքվել: Կողբացի 22 հասցեում գտնվող գույքի նկատմամբ առկա է եղել նաև «Վիլմոնտան» ՍՊԸ-ի գույքային իրավունքը (գույքը վարձակալության իրավունքով օգտագործվում է «Վիլլամոնտան» ՍՊԸ-ի կողմից (վարձակալության իրավունքի վկայական՝ 03052016-01-48)):  18.04.2024 թվականին «Ի ԷՄ ՍԻ» ՓԲԸ-ի կողմից հայցադիմում է ներկայացրել Շիրակի մարզի առաջին ատյանի ընդհանուր իրավասության դատարան ընդդեմ Անտոնինո Դոմինկոյի Մոնտալտոյի, վեճի առարկայի նկատմամբ ինքնուրույն պահանջ չներկայացնող երրորդ անձ՝ «Վիլլամոնտան» ՍՊ ընկերության՝ գույքն օտարելու պահանջի մասին:</w:t>
      </w:r>
      <w:r w:rsidRPr="00DF565B">
        <w:rPr>
          <w:rFonts w:cs="Calibri"/>
          <w:lang w:val="hy-AM"/>
        </w:rPr>
        <w:t> </w:t>
      </w:r>
    </w:p>
    <w:p w14:paraId="4B948F00" w14:textId="77777777" w:rsidR="00DF565B" w:rsidRPr="00DF565B" w:rsidRDefault="00DF565B" w:rsidP="00DF565B">
      <w:pPr>
        <w:pStyle w:val="NoSpacing"/>
        <w:ind w:firstLine="360"/>
        <w:rPr>
          <w:rFonts w:ascii="GHEA Grapalat" w:hAnsi="GHEA Grapalat"/>
          <w:lang w:val="hy-AM"/>
        </w:rPr>
      </w:pPr>
      <w:r w:rsidRPr="00DF565B">
        <w:rPr>
          <w:rFonts w:ascii="GHEA Grapalat" w:hAnsi="GHEA Grapalat"/>
          <w:lang w:val="hy-AM"/>
        </w:rPr>
        <w:t>11.02.2026թ. ՀՕ-28-Ն օրենքի 15-րդ հոդվածով (եզրափակիչ և անցումային դրույթներ) սահմանվել է, որ եթե մինչև օրենքի ուժի մեջ մտնելը կայացված՝ հանրության գերակա շահ ճանաչելու վերաբերյալ Կառավարության որոշումներով սահմանված այն գույքերի առնչությամբ, որոնց նկատմամբ ձեռքբերողի սեփականության իրավունքը օրենքի ուժի մեջ մտնելու պահին գրանցված չի եղել, և օրենքն ուժի մեջ մտնելուց հետո վեց ամսվա ընթացքում այդ իրավունքը չի գրանցվում, ապա Կառավարությունն իր հայեցողական լիազորության շրջանակներում կարող է տվյալ գույքի մասով կամ ամբողջությամբ ուժը կորցրած ճանաչել հանրության գերակա շահ ճանաչելու մասին նախկին որոշումը, ինչպես նաև նոր որոշմամբ կրկին ճանաչել տվյալ գույքի նկատմամբ հանրության գերակա շահ։</w:t>
      </w:r>
    </w:p>
    <w:p w14:paraId="1D3EDD07" w14:textId="77777777" w:rsidR="00DF565B" w:rsidRPr="00DF565B" w:rsidRDefault="00DF565B" w:rsidP="00DF565B">
      <w:pPr>
        <w:pStyle w:val="NoSpacing"/>
        <w:ind w:firstLine="360"/>
        <w:rPr>
          <w:rFonts w:ascii="GHEA Grapalat" w:hAnsi="GHEA Grapalat"/>
          <w:lang w:val="hy-AM"/>
        </w:rPr>
      </w:pPr>
      <w:r w:rsidRPr="00DF565B">
        <w:rPr>
          <w:rFonts w:ascii="GHEA Grapalat" w:hAnsi="GHEA Grapalat"/>
          <w:lang w:val="hy-AM"/>
        </w:rPr>
        <w:t>Հաշվի առնելով արդեն իսկ հաստատված քաղաքաշինական ծրագրի իրականացման անհրաժեշտությունը և այն հանգամանքը, որ Գլխավոր պողոտայի՝ Աբովյան, Փավստոս Բուզանդի, Եզնիկ Կողբացու և Արամի փողոցներով</w:t>
      </w:r>
      <w:r w:rsidRPr="00DF565B">
        <w:rPr>
          <w:rFonts w:ascii="GHEA Grapalat" w:hAnsi="GHEA Grapalat" w:cs="IRTEK Courier"/>
          <w:lang w:val="hy-AM"/>
        </w:rPr>
        <w:t xml:space="preserve"> </w:t>
      </w:r>
      <w:r w:rsidRPr="00DF565B">
        <w:rPr>
          <w:rFonts w:ascii="GHEA Grapalat" w:hAnsi="GHEA Grapalat"/>
          <w:lang w:val="hy-AM"/>
        </w:rPr>
        <w:t>պարփակված</w:t>
      </w:r>
      <w:r w:rsidRPr="00DF565B">
        <w:rPr>
          <w:rFonts w:ascii="GHEA Grapalat" w:hAnsi="GHEA Grapalat" w:cs="IRTEK Courier"/>
          <w:lang w:val="hy-AM"/>
        </w:rPr>
        <w:t xml:space="preserve"> </w:t>
      </w:r>
      <w:r w:rsidRPr="00DF565B">
        <w:rPr>
          <w:rFonts w:ascii="GHEA Grapalat" w:hAnsi="GHEA Grapalat"/>
          <w:lang w:val="hy-AM"/>
        </w:rPr>
        <w:t>տարածքներում թվով մոտ 151 գույքերից մեծ մասը արդեն իսկ օտարված է և նշված տարածքում քաղաքաշինական ծրագրի մի մասը արդեն իսկ իրականացված է, ուստի այն ամբողջությամբ իրականացնելու համար անհրաժեշտ է օտարել տարածքում առկա դեռևս չօտարված գույքերը, այդ թվում նաև վերը նշված 1 միավոր գույքը, որի համար  առաջարկվում է լիազորել Երևանի քաղաքապետին նշված ընկերության հետ կնքել Օրենքի 7-րդ հոդվածի 3-րդ մասով սահմանված պայմանագիրը և օտարման գործընթացն իրականացնել արդեն 11.02.2026թ. ՀՕ-28-Ն օրենքով սահմանված փոփոխություններով, ինչը հնարավորություն կտա գնահատել գույքը և փոխադարձ համաձայնության բացակայության դեպքում դատարանի դեպոզիտ փոխանցել գնահատված արժեքից 20 տոկոս ավել գումար և սահմանված ընթացակարգերով գույքը գրանցել ձեռքբերողի անունով:</w:t>
      </w:r>
    </w:p>
    <w:p w14:paraId="0FB209D9" w14:textId="77777777" w:rsidR="00DF565B" w:rsidRPr="00DF565B" w:rsidRDefault="00DF565B" w:rsidP="00DF565B">
      <w:pPr>
        <w:pStyle w:val="NoSpacing"/>
        <w:ind w:firstLine="360"/>
        <w:rPr>
          <w:rFonts w:ascii="GHEA Grapalat" w:hAnsi="GHEA Grapalat"/>
          <w:lang w:val="hy-AM"/>
        </w:rPr>
      </w:pPr>
      <w:r w:rsidRPr="00DF565B">
        <w:rPr>
          <w:rFonts w:ascii="GHEA Grapalat" w:hAnsi="GHEA Grapalat"/>
          <w:lang w:val="hy-AM"/>
        </w:rPr>
        <w:t>Պայմանագրի կնքումից հետո հնարավոր կլինի նշված 1 միավոր գույքի նկատմամբ ճանաչել հանրային գերակա շահ՝ ձեռքբերող ճանաչելով «Ի ԷՄ ՍԻ» ՓԲ ընկերությանը և ավարտին հասցնել քաղաքաշինական ծրագրի իրականացումը, որով մասնավոր ներդրումների հաշվին Գլխավոր պողոտայի` Աբովյան, Փավստոս Բուզանդի, Եզնիկ Կողբացու և Արամի փողոցներով սահմանափակվող տարածքում հնարավոր կլինի վերականգնել «Հին Երևան» պատմաճարտարապետական միջավայրը և հնարավորություն կստեղծվի կորցված և քանդված պատմության և մշակույթի հուշարձանների տեղափոխման եղանակով տարածքում վերստեղծել քաղաքաշինական գեղագիտական միջավայր:</w:t>
      </w:r>
    </w:p>
    <w:p w14:paraId="3C307511" w14:textId="77777777" w:rsidR="00DF565B" w:rsidRPr="00DF565B" w:rsidRDefault="00DF565B" w:rsidP="00DF565B">
      <w:pPr>
        <w:pStyle w:val="NoSpacing"/>
        <w:ind w:firstLine="360"/>
        <w:rPr>
          <w:rFonts w:ascii="GHEA Grapalat" w:hAnsi="GHEA Grapalat"/>
          <w:lang w:val="hy-AM"/>
        </w:rPr>
      </w:pPr>
    </w:p>
    <w:p w14:paraId="73BF8131" w14:textId="77777777" w:rsidR="00DC4FBC" w:rsidRPr="00DF565B" w:rsidRDefault="00DC4FBC">
      <w:pPr>
        <w:rPr>
          <w:sz w:val="22"/>
          <w:szCs w:val="22"/>
          <w:lang w:val="hy-AM"/>
        </w:rPr>
      </w:pPr>
    </w:p>
    <w:sectPr w:rsidR="00DC4FBC" w:rsidRPr="00DF565B" w:rsidSect="00DF565B">
      <w:pgSz w:w="11906" w:h="16838" w:code="9"/>
      <w:pgMar w:top="180" w:right="386" w:bottom="270" w:left="720" w:header="706"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RTEK Courier">
    <w:charset w:val="00"/>
    <w:family w:val="roman"/>
    <w:pitch w:val="fixed"/>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C"/>
    <w:rsid w:val="00037226"/>
    <w:rsid w:val="000E4553"/>
    <w:rsid w:val="00143F02"/>
    <w:rsid w:val="002619C3"/>
    <w:rsid w:val="00294151"/>
    <w:rsid w:val="00316EE1"/>
    <w:rsid w:val="00333773"/>
    <w:rsid w:val="004951E2"/>
    <w:rsid w:val="005558A4"/>
    <w:rsid w:val="0056640B"/>
    <w:rsid w:val="00566447"/>
    <w:rsid w:val="00567368"/>
    <w:rsid w:val="00604623"/>
    <w:rsid w:val="00622C60"/>
    <w:rsid w:val="00677B06"/>
    <w:rsid w:val="00716275"/>
    <w:rsid w:val="008E2F2C"/>
    <w:rsid w:val="008E7930"/>
    <w:rsid w:val="00947379"/>
    <w:rsid w:val="00A445D8"/>
    <w:rsid w:val="00BB6EB7"/>
    <w:rsid w:val="00C31CA1"/>
    <w:rsid w:val="00C72662"/>
    <w:rsid w:val="00CC781C"/>
    <w:rsid w:val="00D94F70"/>
    <w:rsid w:val="00DC131A"/>
    <w:rsid w:val="00DC4FBC"/>
    <w:rsid w:val="00DF565B"/>
    <w:rsid w:val="00EE08D3"/>
    <w:rsid w:val="00F81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9ABC9F-AB4B-48BA-851B-F192B85A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65B"/>
    <w:pPr>
      <w:spacing w:after="0" w:line="240" w:lineRule="auto"/>
    </w:pPr>
    <w:rPr>
      <w:rFonts w:ascii="Times New Roman" w:eastAsia="Batang" w:hAnsi="Times New Roman" w:cs="Times New Roman"/>
      <w:kern w:val="0"/>
      <w:lang w:val="ru-RU" w:eastAsia="ko-KR"/>
      <w14:ligatures w14:val="none"/>
    </w:rPr>
  </w:style>
  <w:style w:type="paragraph" w:styleId="Heading1">
    <w:name w:val="heading 1"/>
    <w:basedOn w:val="Normal"/>
    <w:next w:val="Normal"/>
    <w:link w:val="Heading1Char"/>
    <w:uiPriority w:val="9"/>
    <w:qFormat/>
    <w:rsid w:val="00CC781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CC781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CC781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CC781C"/>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CC781C"/>
    <w:pPr>
      <w:keepNext/>
      <w:keepLines/>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CC781C"/>
    <w:pPr>
      <w:keepNext/>
      <w:keepLines/>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CC781C"/>
    <w:pPr>
      <w:keepNext/>
      <w:keepLines/>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CC781C"/>
    <w:pPr>
      <w:keepNext/>
      <w:keepLines/>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CC781C"/>
    <w:pPr>
      <w:keepNext/>
      <w:keepLines/>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78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781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781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781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78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C"/>
    <w:rPr>
      <w:rFonts w:eastAsiaTheme="majorEastAsia" w:cstheme="majorBidi"/>
      <w:color w:val="272727" w:themeColor="text1" w:themeTint="D8"/>
    </w:rPr>
  </w:style>
  <w:style w:type="paragraph" w:styleId="Title">
    <w:name w:val="Title"/>
    <w:basedOn w:val="Normal"/>
    <w:next w:val="Normal"/>
    <w:link w:val="TitleChar"/>
    <w:uiPriority w:val="10"/>
    <w:qFormat/>
    <w:rsid w:val="00CC781C"/>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CC78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CC78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C"/>
    <w:pPr>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CC781C"/>
    <w:rPr>
      <w:i/>
      <w:iCs/>
      <w:color w:val="404040" w:themeColor="text1" w:themeTint="BF"/>
    </w:rPr>
  </w:style>
  <w:style w:type="paragraph" w:styleId="ListParagraph">
    <w:name w:val="List Paragraph"/>
    <w:basedOn w:val="Normal"/>
    <w:uiPriority w:val="34"/>
    <w:qFormat/>
    <w:rsid w:val="00CC781C"/>
    <w:pPr>
      <w:spacing w:after="160" w:line="278" w:lineRule="auto"/>
      <w:ind w:left="720"/>
      <w:contextualSpacing/>
    </w:pPr>
    <w:rPr>
      <w:rFonts w:asciiTheme="minorHAnsi" w:eastAsiaTheme="minorHAnsi" w:hAnsiTheme="minorHAnsi" w:cstheme="minorBidi"/>
      <w:kern w:val="2"/>
      <w:lang w:val="en-US" w:eastAsia="en-US"/>
      <w14:ligatures w14:val="standardContextual"/>
    </w:rPr>
  </w:style>
  <w:style w:type="character" w:styleId="IntenseEmphasis">
    <w:name w:val="Intense Emphasis"/>
    <w:basedOn w:val="DefaultParagraphFont"/>
    <w:uiPriority w:val="21"/>
    <w:qFormat/>
    <w:rsid w:val="00CC781C"/>
    <w:rPr>
      <w:i/>
      <w:iCs/>
      <w:color w:val="2F5496" w:themeColor="accent1" w:themeShade="BF"/>
    </w:rPr>
  </w:style>
  <w:style w:type="paragraph" w:styleId="IntenseQuote">
    <w:name w:val="Intense Quote"/>
    <w:basedOn w:val="Normal"/>
    <w:next w:val="Normal"/>
    <w:link w:val="IntenseQuoteChar"/>
    <w:uiPriority w:val="30"/>
    <w:qFormat/>
    <w:rsid w:val="00CC781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CC781C"/>
    <w:rPr>
      <w:i/>
      <w:iCs/>
      <w:color w:val="2F5496" w:themeColor="accent1" w:themeShade="BF"/>
    </w:rPr>
  </w:style>
  <w:style w:type="character" w:styleId="IntenseReference">
    <w:name w:val="Intense Reference"/>
    <w:basedOn w:val="DefaultParagraphFont"/>
    <w:uiPriority w:val="32"/>
    <w:qFormat/>
    <w:rsid w:val="00CC781C"/>
    <w:rPr>
      <w:b/>
      <w:bCs/>
      <w:smallCaps/>
      <w:color w:val="2F5496" w:themeColor="accent1" w:themeShade="BF"/>
      <w:spacing w:val="5"/>
    </w:rPr>
  </w:style>
  <w:style w:type="paragraph" w:styleId="NoSpacing">
    <w:name w:val="No Spacing"/>
    <w:uiPriority w:val="1"/>
    <w:qFormat/>
    <w:rsid w:val="00DF565B"/>
    <w:pPr>
      <w:spacing w:after="0" w:line="240" w:lineRule="auto"/>
      <w:jc w:val="both"/>
    </w:pPr>
    <w:rPr>
      <w:rFonts w:ascii="Calibri" w:eastAsia="Calibri" w:hAnsi="Calibri" w:cs="Times New Roman"/>
      <w:kern w:val="0"/>
      <w:sz w:val="22"/>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Hripsime Babayan</dc:creator>
  <cp:keywords/>
  <dc:description/>
  <cp:lastModifiedBy>Hripsime Babayan</cp:lastModifiedBy>
  <cp:revision>3</cp:revision>
  <dcterms:created xsi:type="dcterms:W3CDTF">2026-06-30T07:17:00Z</dcterms:created>
  <dcterms:modified xsi:type="dcterms:W3CDTF">2026-06-30T08:02:00Z</dcterms:modified>
</cp:coreProperties>
</file>