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111008">
        <w:rPr>
          <w:b/>
          <w:sz w:val="22"/>
          <w:szCs w:val="22"/>
        </w:rPr>
        <w:t>37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B460FC" w:rsidP="005D07CE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B460FC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B460FC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ԲԱՂՐԱՄՅԱՆ</w:t>
      </w:r>
    </w:p>
    <w:p w:rsidR="00343AFD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0D02F4">
        <w:rPr>
          <w:b/>
          <w:sz w:val="22"/>
          <w:szCs w:val="22"/>
        </w:rPr>
        <w:t xml:space="preserve"> </w:t>
      </w:r>
    </w:p>
    <w:p w:rsidR="005D07CE" w:rsidRPr="00A347B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A347B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046BA0">
        <w:rPr>
          <w:b/>
          <w:sz w:val="22"/>
          <w:szCs w:val="22"/>
        </w:rPr>
        <w:t>3.1-</w:t>
      </w:r>
      <w:r w:rsidR="00111008">
        <w:rPr>
          <w:b/>
          <w:sz w:val="22"/>
          <w:szCs w:val="22"/>
        </w:rPr>
        <w:t>22</w:t>
      </w:r>
      <w:bookmarkStart w:id="0" w:name="_GoBack"/>
      <w:bookmarkEnd w:id="0"/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A347B4">
        <w:rPr>
          <w:b/>
          <w:sz w:val="22"/>
          <w:szCs w:val="22"/>
        </w:rPr>
        <w:t>(</w:t>
      </w:r>
      <w:r w:rsidRPr="005D07CE">
        <w:rPr>
          <w:b/>
          <w:sz w:val="22"/>
          <w:szCs w:val="22"/>
        </w:rPr>
        <w:t>ծածկագիրը</w:t>
      </w:r>
      <w:r w:rsidRPr="00A347B4">
        <w:rPr>
          <w:b/>
          <w:sz w:val="22"/>
          <w:szCs w:val="22"/>
        </w:rPr>
        <w:t>)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1. </w:t>
      </w:r>
      <w:r w:rsidRPr="00E71BCC">
        <w:rPr>
          <w:b/>
        </w:rPr>
        <w:t>ԸՆԴՀԱՆՈՒՐ</w:t>
      </w:r>
      <w:r w:rsidRPr="00A347B4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1.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A347B4">
        <w:rPr>
          <w:sz w:val="22"/>
          <w:szCs w:val="22"/>
        </w:rPr>
        <w:t xml:space="preserve">  </w:t>
      </w:r>
      <w:r>
        <w:rPr>
          <w:sz w:val="22"/>
          <w:szCs w:val="22"/>
        </w:rPr>
        <w:t>մարզի</w:t>
      </w:r>
      <w:r w:rsidRPr="00A347B4">
        <w:rPr>
          <w:sz w:val="22"/>
          <w:szCs w:val="22"/>
        </w:rPr>
        <w:t xml:space="preserve"> </w:t>
      </w:r>
      <w:r w:rsidR="00B460FC">
        <w:rPr>
          <w:lang w:val="hy-AM"/>
        </w:rPr>
        <w:t>Բաղրամյան</w:t>
      </w:r>
      <w:r w:rsidR="00B460FC">
        <w:rPr>
          <w:lang w:val="hy-AM"/>
        </w:rPr>
        <w:t xml:space="preserve"> </w:t>
      </w:r>
      <w:r>
        <w:rPr>
          <w:sz w:val="22"/>
          <w:szCs w:val="22"/>
        </w:rPr>
        <w:t>համայնքի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(</w:t>
      </w:r>
      <w:r>
        <w:rPr>
          <w:sz w:val="22"/>
          <w:szCs w:val="22"/>
        </w:rPr>
        <w:t>այսուհետ՝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</w:t>
      </w:r>
      <w:r w:rsidRPr="00046BA0">
        <w:rPr>
          <w:sz w:val="22"/>
          <w:szCs w:val="22"/>
        </w:rPr>
        <w:t>) առաջատար 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կրտսեր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խմբի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ենթախմբում։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2. </w:t>
      </w:r>
      <w:r w:rsidR="005D07CE">
        <w:rPr>
          <w:sz w:val="22"/>
          <w:szCs w:val="22"/>
        </w:rPr>
        <w:t>Առաջատար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մասնագետին</w:t>
      </w:r>
      <w:r w:rsidR="005D07CE" w:rsidRPr="00A347B4">
        <w:rPr>
          <w:sz w:val="22"/>
          <w:szCs w:val="22"/>
        </w:rPr>
        <w:t xml:space="preserve"> «</w:t>
      </w:r>
      <w:r w:rsidR="005D07CE">
        <w:rPr>
          <w:sz w:val="22"/>
          <w:szCs w:val="22"/>
        </w:rPr>
        <w:t>Համայնքային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ծառայության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մասին</w:t>
      </w:r>
      <w:r w:rsidR="005D07CE" w:rsidRPr="00A347B4">
        <w:rPr>
          <w:sz w:val="22"/>
          <w:szCs w:val="22"/>
        </w:rPr>
        <w:t xml:space="preserve">» </w:t>
      </w:r>
      <w:r w:rsidR="005D07CE">
        <w:rPr>
          <w:sz w:val="22"/>
          <w:szCs w:val="22"/>
        </w:rPr>
        <w:t>Հայաստանի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օրենքով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</w:t>
      </w:r>
      <w:r w:rsidR="005D07CE" w:rsidRPr="00A347B4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սահմանված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նշանակում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պաշտոնից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ազատում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աշխատակազմի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քարտուղարը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</w:t>
      </w:r>
      <w:r w:rsidR="005D07CE" w:rsidRPr="00A347B4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A347B4">
        <w:rPr>
          <w:sz w:val="22"/>
          <w:szCs w:val="22"/>
        </w:rPr>
        <w:t xml:space="preserve"> </w:t>
      </w:r>
    </w:p>
    <w:p w:rsidR="005D07CE" w:rsidRPr="00A347B4" w:rsidRDefault="005D07CE" w:rsidP="008C0927">
      <w:pPr>
        <w:pStyle w:val="Default"/>
        <w:rPr>
          <w:sz w:val="22"/>
          <w:szCs w:val="22"/>
        </w:rPr>
      </w:pPr>
    </w:p>
    <w:p w:rsidR="00E71BCC" w:rsidRPr="00A347B4" w:rsidRDefault="00E71BCC" w:rsidP="008C0927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567"/>
        <w:jc w:val="center"/>
        <w:rPr>
          <w:b/>
        </w:rPr>
      </w:pPr>
      <w:r w:rsidRPr="00A347B4">
        <w:rPr>
          <w:b/>
        </w:rPr>
        <w:t xml:space="preserve">2. </w:t>
      </w:r>
      <w:r w:rsidRPr="00E71BCC">
        <w:rPr>
          <w:b/>
        </w:rPr>
        <w:t>ԱՇԽԱՏԱՆՔԻ</w:t>
      </w:r>
      <w:r w:rsidRPr="00A347B4">
        <w:rPr>
          <w:b/>
        </w:rPr>
        <w:t xml:space="preserve"> </w:t>
      </w:r>
      <w:r w:rsidRPr="00E71BCC">
        <w:rPr>
          <w:b/>
        </w:rPr>
        <w:t>ԿԱԶՄԱԿԵՐՊՄԱՆ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ՂԵԿԱՎԱՐՄԱՆ</w:t>
      </w:r>
      <w:r w:rsidRPr="00A347B4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3.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անմիջականորեն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հաշվետու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քարտուղարին։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4.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5.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Օրենքով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կադրերի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ռեզերվում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գտնվող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սույն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բավարարող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իսկ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անհնարինության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օրենսդրությամբ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սահմանված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նրանց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6.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կազմակերպման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ծրագրման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համակարգման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ղեկավարման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վերահսկման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պատասխանատվություն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չկատարելու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լիազորությունները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վերազանցելու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համար։</w:t>
      </w:r>
      <w:r w:rsidRPr="00A347B4">
        <w:rPr>
          <w:sz w:val="22"/>
          <w:szCs w:val="22"/>
        </w:rPr>
        <w:t xml:space="preserve"> </w:t>
      </w:r>
    </w:p>
    <w:p w:rsidR="00F760FF" w:rsidRPr="00A347B4" w:rsidRDefault="00F760FF" w:rsidP="008C0927">
      <w:pPr>
        <w:pStyle w:val="Default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3. </w:t>
      </w:r>
      <w:r w:rsidRPr="00E71BCC">
        <w:rPr>
          <w:b/>
        </w:rPr>
        <w:t>ՈՐՈՇՈՒՄՆԵՐ</w:t>
      </w:r>
      <w:r w:rsidRPr="00A347B4">
        <w:rPr>
          <w:b/>
        </w:rPr>
        <w:t xml:space="preserve"> </w:t>
      </w:r>
      <w:r w:rsidRPr="00E71BCC">
        <w:rPr>
          <w:b/>
        </w:rPr>
        <w:t>ԿԱՅԱՑՆԵԼՈՒ</w:t>
      </w:r>
      <w:r w:rsidRPr="00A347B4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A347B4" w:rsidRDefault="005D07CE" w:rsidP="005D07CE">
      <w:pPr>
        <w:pStyle w:val="Default"/>
        <w:jc w:val="center"/>
        <w:rPr>
          <w:b/>
        </w:rPr>
      </w:pPr>
    </w:p>
    <w:p w:rsidR="005D07CE" w:rsidRPr="00A347B4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7.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հիմնախնդիրների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որոշումների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ընդունմանը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կատարմանը։</w:t>
      </w:r>
      <w:r w:rsidRPr="00A347B4">
        <w:rPr>
          <w:sz w:val="22"/>
          <w:szCs w:val="22"/>
        </w:rPr>
        <w:t xml:space="preserve"> </w:t>
      </w: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8C0927" w:rsidRPr="00A347B4" w:rsidRDefault="008C0927" w:rsidP="00B515D5">
      <w:pPr>
        <w:tabs>
          <w:tab w:val="left" w:pos="1745"/>
        </w:tabs>
      </w:pPr>
    </w:p>
    <w:p w:rsidR="00F760FF" w:rsidRPr="00A347B4" w:rsidRDefault="008C0927" w:rsidP="008C0927">
      <w:pPr>
        <w:pStyle w:val="Default"/>
        <w:pageBreakBefore/>
        <w:rPr>
          <w:b/>
        </w:rPr>
      </w:pPr>
      <w:r w:rsidRPr="00A347B4">
        <w:rPr>
          <w:b/>
        </w:rPr>
        <w:lastRenderedPageBreak/>
        <w:t xml:space="preserve">                               </w:t>
      </w:r>
      <w:r w:rsidR="00F760FF" w:rsidRPr="00A347B4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ներսում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շրջանակներում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հետ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որպես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ներկայացուցիչ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հանդես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գալու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E71BCC" w:rsidRPr="00A347B4" w:rsidRDefault="00E71BCC" w:rsidP="005D07CE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  <w:r w:rsidRPr="00A347B4">
        <w:rPr>
          <w:b/>
        </w:rPr>
        <w:t xml:space="preserve">5. </w:t>
      </w:r>
      <w:r w:rsidRPr="00E71BCC">
        <w:rPr>
          <w:b/>
        </w:rPr>
        <w:t>ԽՆԴԻՐՆԵՐԻ</w:t>
      </w:r>
      <w:r w:rsidRPr="00A347B4">
        <w:rPr>
          <w:b/>
        </w:rPr>
        <w:t xml:space="preserve"> </w:t>
      </w:r>
      <w:r w:rsidRPr="00E71BCC">
        <w:rPr>
          <w:b/>
        </w:rPr>
        <w:t>ԲԱՐԴՈՒԹՅՈՒՆԸ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ԴՐԱՆՑ</w:t>
      </w:r>
      <w:r w:rsidRPr="00A347B4">
        <w:rPr>
          <w:b/>
        </w:rPr>
        <w:t xml:space="preserve"> </w:t>
      </w:r>
      <w:r w:rsidRPr="00E71BCC">
        <w:rPr>
          <w:b/>
        </w:rPr>
        <w:t>ՍՏԵՂԾԱԳՈՐԾԱԿԱՆ</w:t>
      </w:r>
      <w:r w:rsidRPr="00A347B4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9.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առջև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գնահատմանը։</w:t>
      </w:r>
      <w:r w:rsidRPr="00A347B4">
        <w:rPr>
          <w:sz w:val="22"/>
          <w:szCs w:val="22"/>
        </w:rPr>
        <w:t xml:space="preserve"> </w:t>
      </w:r>
    </w:p>
    <w:p w:rsidR="00E71BCC" w:rsidRPr="00A347B4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6. </w:t>
      </w:r>
      <w:r w:rsidRPr="00E71BCC">
        <w:rPr>
          <w:b/>
        </w:rPr>
        <w:t>ԳԻՏԵԼԻՔՆԵՐԸ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A347B4">
        <w:rPr>
          <w:sz w:val="22"/>
          <w:szCs w:val="22"/>
        </w:rPr>
        <w:t xml:space="preserve">10.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960291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 w:rsidRPr="00960291">
        <w:rPr>
          <w:sz w:val="22"/>
          <w:szCs w:val="22"/>
        </w:rPr>
        <w:t>ունի առնվազն միջնակարգ կրթություն</w:t>
      </w:r>
      <w:r w:rsidR="00C41A6A" w:rsidRPr="00960291">
        <w:rPr>
          <w:sz w:val="22"/>
          <w:szCs w:val="22"/>
          <w:lang w:val="en-US"/>
        </w:rPr>
        <w:t>՝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առանց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աշխատանքային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ստաժի</w:t>
      </w:r>
      <w:proofErr w:type="spellEnd"/>
      <w:r w:rsidR="00C41A6A" w:rsidRPr="00960291">
        <w:rPr>
          <w:sz w:val="22"/>
          <w:szCs w:val="22"/>
        </w:rPr>
        <w:t xml:space="preserve"> </w:t>
      </w:r>
      <w:r w:rsidR="00C41A6A" w:rsidRPr="00960291">
        <w:rPr>
          <w:sz w:val="22"/>
          <w:szCs w:val="22"/>
          <w:lang w:val="en-US"/>
        </w:rPr>
        <w:t>և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փորձի</w:t>
      </w:r>
      <w:proofErr w:type="spellEnd"/>
      <w:r w:rsidR="00C41A6A" w:rsidRPr="00960291">
        <w:rPr>
          <w:sz w:val="22"/>
          <w:szCs w:val="22"/>
        </w:rPr>
        <w:t>:</w:t>
      </w:r>
      <w:r w:rsidRPr="00960291">
        <w:rPr>
          <w:sz w:val="22"/>
          <w:szCs w:val="22"/>
        </w:rPr>
        <w:t xml:space="preserve"> </w:t>
      </w: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960291">
        <w:rPr>
          <w:sz w:val="22"/>
          <w:szCs w:val="22"/>
        </w:rPr>
        <w:t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տրամաբանելու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տարբեր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իրավիճակներում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կողմնորոշվելու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709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տիրապետում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տեղեկատվությանը</w:t>
      </w:r>
      <w:r w:rsidRPr="00A347B4">
        <w:rPr>
          <w:sz w:val="22"/>
          <w:szCs w:val="22"/>
        </w:rPr>
        <w:t xml:space="preserve">. </w:t>
      </w:r>
    </w:p>
    <w:p w:rsidR="00ED6446" w:rsidRPr="00ED6446" w:rsidRDefault="005D07CE" w:rsidP="00ED6446">
      <w:pPr>
        <w:pStyle w:val="Default"/>
        <w:ind w:left="-426" w:firstLine="426"/>
        <w:jc w:val="both"/>
        <w:rPr>
          <w:sz w:val="22"/>
          <w:szCs w:val="22"/>
        </w:rPr>
      </w:pPr>
      <w:r>
        <w:rPr>
          <w:sz w:val="22"/>
          <w:szCs w:val="22"/>
        </w:rPr>
        <w:t>դ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ունի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համակարգչով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ժամանակակից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տեխնիկական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միջոցներով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ունակություն։</w:t>
      </w:r>
      <w:r w:rsidRPr="00A347B4">
        <w:rPr>
          <w:sz w:val="22"/>
          <w:szCs w:val="22"/>
        </w:rPr>
        <w:t xml:space="preserve"> </w:t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6B2102" w:rsidRPr="006B2102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 xml:space="preserve"> </w:t>
      </w:r>
      <w:r w:rsidR="00ED6446">
        <w:rPr>
          <w:lang w:val="en-US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D6446" w:rsidRDefault="005D07CE" w:rsidP="00AE5D9B">
      <w:pPr>
        <w:pStyle w:val="Default"/>
        <w:ind w:left="-567" w:firstLine="709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7. </w:t>
      </w:r>
      <w:r w:rsidRPr="00E71BCC">
        <w:rPr>
          <w:b/>
        </w:rPr>
        <w:t>ԻՐԱՎՈՒՆՔՆԵՐԸ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ՊԱՐՏԱԿԱՆՈՒԹՅՈՒՆՆԵՐԸ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11.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հանձնարարությունները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ժամանակին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որակով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ապահովում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շրջանառությունը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լրացնում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հետևում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կատարման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ընթացքին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որոնց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արդյունքների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զեկուցում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պետին</w:t>
      </w:r>
      <w:r w:rsidRPr="00A347B4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սահմաններում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անհրաժեշտության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դեպքում</w:t>
      </w:r>
      <w:r w:rsidR="005D07CE" w:rsidRPr="00B74DF3">
        <w:rPr>
          <w:sz w:val="22"/>
          <w:szCs w:val="22"/>
        </w:rPr>
        <w:t xml:space="preserve">, </w:t>
      </w:r>
      <w:r w:rsidR="005D07CE" w:rsidRPr="00046BA0">
        <w:rPr>
          <w:sz w:val="22"/>
          <w:szCs w:val="22"/>
        </w:rPr>
        <w:t>նախապատրաստում և քարտուղարին է ներկայացնում է իր աշխատանքային ծրագրերը,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ինչպես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առաջարկություններ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տեղեկանքներ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հաշվետվություններ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միջնորդագրեր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զեկուցագրեր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գրություններ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իրականացնում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քաղաքացիների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հերթագրում</w:t>
      </w:r>
      <w:r w:rsidR="005D07CE" w:rsidRPr="00B74DF3">
        <w:rPr>
          <w:sz w:val="22"/>
          <w:szCs w:val="22"/>
        </w:rPr>
        <w:t xml:space="preserve">`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մոտ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ընդունելության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համար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մասնակցում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աշխատանքային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ծրագրերի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մշակման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աշխատանքներին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ուսումնասիրում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դիմումներում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բողոքներում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բարձրացված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հարցերը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Հայաստանի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օրենսդրությամբ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ժամկետներում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նախապատրաստում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պատասխան</w:t>
      </w:r>
      <w:r w:rsidR="005D07CE" w:rsidRPr="00B74DF3">
        <w:rPr>
          <w:sz w:val="22"/>
          <w:szCs w:val="22"/>
        </w:rPr>
        <w:t xml:space="preserve">. </w:t>
      </w:r>
    </w:p>
    <w:p w:rsidR="000D02F4" w:rsidRPr="002E4FD8" w:rsidRDefault="000D02F4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ը</w:t>
      </w:r>
      <w:r w:rsidRPr="002E4FD8">
        <w:rPr>
          <w:sz w:val="22"/>
          <w:szCs w:val="22"/>
        </w:rPr>
        <w:t xml:space="preserve">) </w:t>
      </w:r>
      <w:proofErr w:type="spellStart"/>
      <w:r w:rsidRPr="002E4FD8">
        <w:rPr>
          <w:sz w:val="22"/>
          <w:szCs w:val="22"/>
          <w:lang w:val="en-US"/>
        </w:rPr>
        <w:t>մասնակցում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է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զորակոչային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և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զորահավաքային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ծառայությունների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հետ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կապված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միջոցառումներին</w:t>
      </w:r>
      <w:proofErr w:type="spellEnd"/>
      <w:r w:rsidRPr="002E4FD8">
        <w:rPr>
          <w:sz w:val="22"/>
          <w:szCs w:val="22"/>
        </w:rPr>
        <w:t>,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համայնքի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ղեկավարի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հանձնարարությամբ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համագործակցում</w:t>
      </w:r>
      <w:proofErr w:type="spellEnd"/>
      <w:r w:rsidR="00370861" w:rsidRPr="002E4FD8">
        <w:rPr>
          <w:sz w:val="22"/>
          <w:szCs w:val="22"/>
        </w:rPr>
        <w:t xml:space="preserve"> </w:t>
      </w:r>
      <w:r w:rsidR="00370861" w:rsidRPr="002E4FD8">
        <w:rPr>
          <w:sz w:val="22"/>
          <w:szCs w:val="22"/>
          <w:lang w:val="en-US"/>
        </w:rPr>
        <w:t>է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տարածքային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զինկոմիսարիատի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հետ</w:t>
      </w:r>
      <w:proofErr w:type="spellEnd"/>
      <w:r w:rsidR="00370861" w:rsidRPr="002E4FD8">
        <w:rPr>
          <w:sz w:val="22"/>
          <w:szCs w:val="22"/>
        </w:rPr>
        <w:t>:</w:t>
      </w:r>
      <w:r w:rsidR="004A70B8" w:rsidRPr="002E4FD8">
        <w:rPr>
          <w:sz w:val="22"/>
          <w:szCs w:val="22"/>
        </w:rPr>
        <w:t xml:space="preserve"> </w:t>
      </w:r>
    </w:p>
    <w:p w:rsidR="005D07CE" w:rsidRPr="00F14B3E" w:rsidRDefault="008D1109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թ</w:t>
      </w:r>
      <w:r w:rsidR="005D07CE" w:rsidRPr="002E4FD8">
        <w:rPr>
          <w:sz w:val="22"/>
          <w:szCs w:val="22"/>
        </w:rPr>
        <w:t>) իր</w:t>
      </w:r>
      <w:r w:rsidR="000D02F4" w:rsidRPr="002E4FD8">
        <w:rPr>
          <w:sz w:val="22"/>
          <w:szCs w:val="22"/>
        </w:rPr>
        <w:t xml:space="preserve"> </w:t>
      </w:r>
      <w:r w:rsidR="005D07CE" w:rsidRPr="002E4FD8">
        <w:rPr>
          <w:sz w:val="22"/>
          <w:szCs w:val="22"/>
        </w:rPr>
        <w:t>ականացնում է սույն պաշտոնի</w:t>
      </w:r>
      <w:r w:rsidR="005D07CE" w:rsidRPr="00046BA0">
        <w:rPr>
          <w:sz w:val="22"/>
          <w:szCs w:val="22"/>
        </w:rPr>
        <w:t xml:space="preserve"> անձնագրով սահմանված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լիազորություններ։</w:t>
      </w:r>
      <w:r w:rsidR="005D07CE" w:rsidRPr="00F14B3E">
        <w:rPr>
          <w:sz w:val="22"/>
          <w:szCs w:val="22"/>
        </w:rPr>
        <w:t xml:space="preserve"> </w:t>
      </w:r>
    </w:p>
    <w:p w:rsidR="005D07CE" w:rsidRPr="00B74DF3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ունի</w:t>
      </w:r>
      <w:r w:rsidRPr="00B74DF3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>րենքով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74DF3" w:rsidRDefault="005D07CE" w:rsidP="00BE584C">
      <w:pPr>
        <w:pStyle w:val="Default"/>
        <w:jc w:val="center"/>
        <w:rPr>
          <w:b/>
          <w:sz w:val="22"/>
          <w:szCs w:val="22"/>
        </w:rPr>
      </w:pPr>
      <w:r w:rsidRPr="00B74DF3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</w:p>
    <w:p w:rsidR="00ED6446" w:rsidRPr="00ED6446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r w:rsidRPr="00F9258C">
        <w:rPr>
          <w:rFonts w:eastAsia="Calibri"/>
          <w:sz w:val="22"/>
          <w:szCs w:val="22"/>
        </w:rPr>
        <w:t>Բաժնի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առաջատար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մասնագետին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օրենքով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սահմանված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կարգով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շնորհվում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կրտսեր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>:</w:t>
      </w:r>
    </w:p>
    <w:p w:rsidR="00ED6446" w:rsidRPr="00ED6446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74DF3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համայնքների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ղեկավարների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աշխատակազմի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առաջատար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մասնագետի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պաշտոնի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անձնագրի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առանձին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դրույթների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վերաբերյալ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1.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կազմումն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իրականացվում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հետևյալ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սկզբունքով՝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կետից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գծիկից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մատնանշում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անվանացանկերում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խմբում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հերթական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համարը։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կետի</w:t>
      </w:r>
      <w:r w:rsidRPr="00B74DF3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74DF3">
        <w:rPr>
          <w:sz w:val="22"/>
          <w:szCs w:val="22"/>
        </w:rPr>
        <w:t xml:space="preserve">» </w:t>
      </w:r>
      <w:r>
        <w:rPr>
          <w:sz w:val="22"/>
          <w:szCs w:val="22"/>
        </w:rPr>
        <w:t>ենթակետում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կողմից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իմացության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3.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</w:t>
      </w:r>
      <w:r w:rsidRPr="00B74DF3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առանձին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ենթակետով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որևէ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լեզվի</w:t>
      </w:r>
      <w:r w:rsidRPr="00B74DF3">
        <w:rPr>
          <w:sz w:val="22"/>
          <w:szCs w:val="22"/>
        </w:rPr>
        <w:t xml:space="preserve"> (</w:t>
      </w:r>
      <w:r>
        <w:rPr>
          <w:sz w:val="22"/>
          <w:szCs w:val="22"/>
        </w:rPr>
        <w:t>լեզուների</w:t>
      </w:r>
      <w:r w:rsidRPr="00B74DF3">
        <w:rPr>
          <w:sz w:val="22"/>
          <w:szCs w:val="22"/>
        </w:rPr>
        <w:t xml:space="preserve">) </w:t>
      </w:r>
      <w:r>
        <w:rPr>
          <w:sz w:val="22"/>
          <w:szCs w:val="22"/>
        </w:rPr>
        <w:t>իմացությունը։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դրույթներից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բացի</w:t>
      </w:r>
      <w:r w:rsidRPr="00B74DF3">
        <w:rPr>
          <w:sz w:val="22"/>
          <w:szCs w:val="22"/>
        </w:rPr>
        <w:t xml:space="preserve"> </w:t>
      </w:r>
      <w:r>
        <w:rPr>
          <w:sz w:val="23"/>
          <w:szCs w:val="23"/>
        </w:rPr>
        <w:t>անհրաժեշտ</w:t>
      </w:r>
      <w:r w:rsidRPr="00B74DF3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ավելացնել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1D3A62" w:rsidRDefault="005D07CE" w:rsidP="005D07CE">
      <w:r>
        <w:rPr>
          <w:rFonts w:ascii="Sylfaen" w:hAnsi="Sylfaen" w:cs="Sylfaen"/>
        </w:rPr>
        <w:t>Նկատի</w:t>
      </w:r>
      <w:r w:rsidRPr="00B74DF3">
        <w:t xml:space="preserve"> </w:t>
      </w:r>
      <w:r>
        <w:rPr>
          <w:rFonts w:ascii="Sylfaen" w:hAnsi="Sylfaen" w:cs="Sylfaen"/>
        </w:rPr>
        <w:t>ունենալով</w:t>
      </w:r>
      <w:r w:rsidRPr="00B74DF3">
        <w:t xml:space="preserve">, </w:t>
      </w:r>
      <w:r>
        <w:rPr>
          <w:rFonts w:ascii="Sylfaen" w:hAnsi="Sylfaen" w:cs="Sylfaen"/>
        </w:rPr>
        <w:t>որ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կրտսեր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>,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3-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ենթախմբերի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համար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նկարագրով</w:t>
      </w:r>
      <w:r w:rsidRPr="00B74DF3">
        <w:t xml:space="preserve"> </w:t>
      </w:r>
      <w:r>
        <w:rPr>
          <w:rFonts w:ascii="Sylfaen" w:hAnsi="Sylfaen" w:cs="Sylfaen"/>
        </w:rPr>
        <w:t>տրվել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մեկ</w:t>
      </w:r>
      <w:r w:rsidRPr="00B74DF3">
        <w:t xml:space="preserve"> </w:t>
      </w:r>
      <w:r>
        <w:rPr>
          <w:rFonts w:ascii="Sylfaen" w:hAnsi="Sylfaen" w:cs="Sylfaen"/>
        </w:rPr>
        <w:t>ընդհանուր</w:t>
      </w:r>
      <w:r w:rsidRPr="00B74DF3">
        <w:t xml:space="preserve"> </w:t>
      </w:r>
      <w:r>
        <w:rPr>
          <w:rFonts w:ascii="Sylfaen" w:hAnsi="Sylfaen" w:cs="Sylfaen"/>
        </w:rPr>
        <w:t>նկարագիր</w:t>
      </w:r>
      <w:r w:rsidRPr="00B74DF3">
        <w:t xml:space="preserve">, </w:t>
      </w:r>
      <w:r>
        <w:rPr>
          <w:rFonts w:ascii="Sylfaen" w:hAnsi="Sylfaen" w:cs="Sylfaen"/>
        </w:rPr>
        <w:t>ուստի</w:t>
      </w:r>
      <w:r w:rsidRPr="00B74DF3">
        <w:t xml:space="preserve"> </w:t>
      </w:r>
      <w:r>
        <w:rPr>
          <w:rFonts w:ascii="Sylfaen" w:hAnsi="Sylfaen" w:cs="Sylfaen"/>
        </w:rPr>
        <w:t>նշված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</w:t>
      </w:r>
      <w:r>
        <w:rPr>
          <w:rFonts w:ascii="Sylfaen" w:hAnsi="Sylfaen" w:cs="Sylfaen"/>
        </w:rPr>
        <w:t>օրինակով</w:t>
      </w:r>
      <w:r w:rsidRPr="00B74DF3">
        <w:t xml:space="preserve"> </w:t>
      </w:r>
      <w:r>
        <w:rPr>
          <w:rFonts w:ascii="Sylfaen" w:hAnsi="Sylfaen" w:cs="Sylfaen"/>
        </w:rPr>
        <w:t>պետք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կազմվեն</w:t>
      </w:r>
      <w:r w:rsidRPr="00B74DF3">
        <w:t xml:space="preserve"> </w:t>
      </w:r>
      <w:r>
        <w:rPr>
          <w:rFonts w:ascii="Sylfaen" w:hAnsi="Sylfaen" w:cs="Sylfaen"/>
        </w:rPr>
        <w:t>նաև</w:t>
      </w:r>
      <w:r w:rsidRPr="00B74DF3">
        <w:t xml:space="preserve"> </w:t>
      </w:r>
      <w:r>
        <w:rPr>
          <w:rFonts w:ascii="Sylfaen" w:hAnsi="Sylfaen" w:cs="Sylfaen"/>
        </w:rPr>
        <w:t>բաժնի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կարգի</w:t>
      </w:r>
      <w:r w:rsidRPr="00B74DF3">
        <w:t xml:space="preserve"> </w:t>
      </w:r>
      <w:r>
        <w:rPr>
          <w:rFonts w:ascii="Sylfaen" w:hAnsi="Sylfaen" w:cs="Sylfaen"/>
        </w:rPr>
        <w:t>մասնագետների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անձնագրերը</w:t>
      </w:r>
      <w:r w:rsidRPr="00B74DF3">
        <w:t xml:space="preserve">`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փոփոխություններ</w:t>
      </w:r>
      <w:r w:rsidRPr="00B74DF3">
        <w:t xml:space="preserve"> </w:t>
      </w:r>
      <w:r>
        <w:rPr>
          <w:rFonts w:ascii="Sylfaen" w:hAnsi="Sylfaen" w:cs="Sylfaen"/>
        </w:rPr>
        <w:t>կատարելով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ծածկագրի</w:t>
      </w:r>
      <w:r w:rsidRPr="00B74DF3">
        <w:t xml:space="preserve">,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անվանման</w:t>
      </w:r>
      <w:r w:rsidRPr="00B74DF3">
        <w:t xml:space="preserve"> </w:t>
      </w:r>
      <w:r>
        <w:rPr>
          <w:rFonts w:ascii="Sylfaen" w:hAnsi="Sylfaen" w:cs="Sylfaen"/>
        </w:rPr>
        <w:t>մեջ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կետում</w:t>
      </w:r>
      <w:r w:rsidRPr="00B74DF3">
        <w:t xml:space="preserve"> </w:t>
      </w:r>
      <w:r>
        <w:rPr>
          <w:rFonts w:ascii="Sylfaen" w:hAnsi="Sylfaen" w:cs="Sylfaen"/>
        </w:rPr>
        <w:t>նշելով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խմբի</w:t>
      </w:r>
      <w:r w:rsidRPr="00B74DF3">
        <w:t xml:space="preserve">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ենթախումբը։</w:t>
      </w:r>
      <w:r w:rsidRPr="00B74DF3"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11008"/>
    <w:rsid w:val="001D3567"/>
    <w:rsid w:val="001D3A62"/>
    <w:rsid w:val="002A4C9F"/>
    <w:rsid w:val="002E4FD8"/>
    <w:rsid w:val="00335E2F"/>
    <w:rsid w:val="00343AFD"/>
    <w:rsid w:val="003679EB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7837D2"/>
    <w:rsid w:val="008C0927"/>
    <w:rsid w:val="008D1109"/>
    <w:rsid w:val="00945FDD"/>
    <w:rsid w:val="00960291"/>
    <w:rsid w:val="00A347B4"/>
    <w:rsid w:val="00AE5D9B"/>
    <w:rsid w:val="00B460FC"/>
    <w:rsid w:val="00B515D5"/>
    <w:rsid w:val="00B74DF3"/>
    <w:rsid w:val="00BE584C"/>
    <w:rsid w:val="00C41A6A"/>
    <w:rsid w:val="00D768A8"/>
    <w:rsid w:val="00DA6808"/>
    <w:rsid w:val="00DD0E7E"/>
    <w:rsid w:val="00E06683"/>
    <w:rsid w:val="00E67406"/>
    <w:rsid w:val="00E71BCC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F033"/>
  <w15:docId w15:val="{B30AD504-BAAD-4618-B0A4-370AD1D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2022-02-09T07:46:00Z</cp:lastPrinted>
  <dcterms:created xsi:type="dcterms:W3CDTF">2022-02-22T10:10:00Z</dcterms:created>
  <dcterms:modified xsi:type="dcterms:W3CDTF">2022-02-22T10:10:00Z</dcterms:modified>
</cp:coreProperties>
</file>