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C20D70">
      <w:pPr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C20D70">
      <w:pPr>
        <w:jc w:val="center"/>
        <w:rPr>
          <w:b/>
        </w:rPr>
      </w:pPr>
    </w:p>
    <w:p w:rsidR="008541FB" w:rsidRPr="00D1394E" w:rsidRDefault="008541FB" w:rsidP="00C20D70">
      <w:pPr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C90608">
        <w:rPr>
          <w:b/>
          <w:sz w:val="22"/>
          <w:szCs w:val="22"/>
          <w:lang w:val="hy-AM"/>
        </w:rPr>
        <w:t>11</w:t>
      </w:r>
      <w:r w:rsidRPr="00D1394E">
        <w:rPr>
          <w:b/>
          <w:sz w:val="22"/>
          <w:szCs w:val="22"/>
          <w:lang w:val="hy-AM"/>
        </w:rPr>
        <w:t xml:space="preserve">-ը </w:t>
      </w:r>
      <w:proofErr w:type="spellStart"/>
      <w:r w:rsidR="00C90608">
        <w:rPr>
          <w:b/>
          <w:sz w:val="22"/>
          <w:szCs w:val="22"/>
          <w:lang w:val="ru-RU"/>
        </w:rPr>
        <w:t>հունիսի</w:t>
      </w:r>
      <w:proofErr w:type="spellEnd"/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</w:p>
    <w:p w:rsidR="008541FB" w:rsidRPr="00D1394E" w:rsidRDefault="008541FB" w:rsidP="00C20D70">
      <w:pPr>
        <w:rPr>
          <w:b/>
          <w:sz w:val="20"/>
          <w:szCs w:val="20"/>
          <w:lang w:val="hy-AM"/>
        </w:rPr>
      </w:pPr>
    </w:p>
    <w:p w:rsidR="008541FB" w:rsidRPr="00D1394E" w:rsidRDefault="008541FB" w:rsidP="00C20D70">
      <w:pPr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C20D70">
      <w:pPr>
        <w:jc w:val="both"/>
        <w:rPr>
          <w:b/>
          <w:sz w:val="20"/>
          <w:szCs w:val="20"/>
          <w:lang w:val="hy-AM"/>
        </w:rPr>
      </w:pPr>
    </w:p>
    <w:p w:rsidR="008541FB" w:rsidRDefault="008541FB" w:rsidP="00C20D70">
      <w:pPr>
        <w:shd w:val="clear" w:color="auto" w:fill="FFFFFF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C90608" w:rsidRPr="00C90608">
        <w:rPr>
          <w:b/>
          <w:lang w:val="hy-AM"/>
        </w:rPr>
        <w:t>ՔԱՂԱՔԱՇԻՆՈՒԹՅԱՆ ԵՎ ՀՈՂԱՇԻՆՈՒԹՅԱՆ</w:t>
      </w:r>
      <w:r w:rsidR="009F2A78" w:rsidRPr="009F2A78">
        <w:rPr>
          <w:b/>
          <w:lang w:val="hy-AM"/>
        </w:rPr>
        <w:t xml:space="preserve"> ԲԱԺՆԻ </w:t>
      </w:r>
      <w:r w:rsidR="00973C48" w:rsidRPr="00973C48">
        <w:rPr>
          <w:b/>
          <w:bCs/>
          <w:lang w:val="hy-AM"/>
        </w:rPr>
        <w:t>ԱՌԱՋԱՏԱՐ ՄԱՍՆԱԳԵՏԻ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73C48" w:rsidRPr="00973C48">
        <w:rPr>
          <w:b/>
          <w:lang w:val="hy-AM"/>
        </w:rPr>
        <w:t>3</w:t>
      </w:r>
      <w:r w:rsidR="009A2E28" w:rsidRPr="009A2E28">
        <w:rPr>
          <w:b/>
          <w:lang w:val="hy-AM"/>
        </w:rPr>
        <w:t>.</w:t>
      </w:r>
      <w:r w:rsidR="009F2A78" w:rsidRPr="009F2A78">
        <w:rPr>
          <w:b/>
          <w:lang w:val="hy-AM"/>
        </w:rPr>
        <w:t>1</w:t>
      </w:r>
      <w:r w:rsidR="009A2E28" w:rsidRPr="009A2E28">
        <w:rPr>
          <w:b/>
          <w:lang w:val="hy-AM"/>
        </w:rPr>
        <w:t>-</w:t>
      </w:r>
      <w:r w:rsidR="00973C48" w:rsidRPr="00973C48">
        <w:rPr>
          <w:b/>
          <w:lang w:val="hy-AM"/>
        </w:rPr>
        <w:t>29</w:t>
      </w:r>
      <w:r w:rsidRPr="00D1394E">
        <w:rPr>
          <w:b/>
          <w:lang w:val="hy-AM"/>
        </w:rPr>
        <w:t>)</w:t>
      </w:r>
    </w:p>
    <w:p w:rsidR="008541FB" w:rsidRPr="00D1394E" w:rsidRDefault="008541FB" w:rsidP="00C20D70">
      <w:pPr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C20D70">
      <w:pPr>
        <w:rPr>
          <w:lang w:val="hy-AM"/>
        </w:rPr>
      </w:pPr>
    </w:p>
    <w:p w:rsidR="008541FB" w:rsidRPr="00D1394E" w:rsidRDefault="008541FB" w:rsidP="00C20D70">
      <w:pPr>
        <w:tabs>
          <w:tab w:val="left" w:pos="1134"/>
        </w:tabs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C20D70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ա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կատարում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հանձնարարությունները</w:t>
      </w:r>
      <w:r w:rsidRPr="00973C48">
        <w:rPr>
          <w:rFonts w:cs="Arial Armenian"/>
          <w:bCs/>
          <w:sz w:val="22"/>
          <w:szCs w:val="22"/>
          <w:lang w:val="hy-AM"/>
        </w:rPr>
        <w:t xml:space="preserve">` </w:t>
      </w:r>
      <w:r w:rsidRPr="00973C48">
        <w:rPr>
          <w:bCs/>
          <w:sz w:val="22"/>
          <w:szCs w:val="22"/>
          <w:lang w:val="hy-AM"/>
        </w:rPr>
        <w:t>ժամանակին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պատշաճ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որակով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բ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ապահովում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փաստաթղթային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շրջանառությունը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լրացնում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համապատասխան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փաստաթղթերը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գ) հետևում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հանձնարարականների համապատասխան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 xml:space="preserve">ժամկետներում 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կատարման ընթացքին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որոնց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արդյունքների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մասին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զեկուցում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պետին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դ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իր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լիազորությունների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սահմաններում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անհրաժեշտության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դեպքում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նախապատրաստում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ներկայացնում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իր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աշխատանքային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ծրագրերը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ինչպես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նաև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առաջարկություններ</w:t>
      </w:r>
      <w:r w:rsidRPr="00973C48">
        <w:rPr>
          <w:rFonts w:cs="Arial Armenian"/>
          <w:bCs/>
          <w:sz w:val="22"/>
          <w:szCs w:val="22"/>
          <w:lang w:val="hy-AM"/>
        </w:rPr>
        <w:t>,</w:t>
      </w:r>
      <w:r w:rsidRPr="00973C48">
        <w:rPr>
          <w:bCs/>
          <w:sz w:val="22"/>
          <w:szCs w:val="22"/>
          <w:lang w:val="hy-AM"/>
        </w:rPr>
        <w:t xml:space="preserve"> տեղեկանքներ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հաշվետվություններ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միջնորդագրեր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զեկուցագրեր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այլ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գրություններ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ե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ուսումնասիրում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դիմումներում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բողոքներում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բարձրացված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հարցերը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Հայաստանի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Հանրապետության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օրենսդրությամբ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սահմանված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կարգով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 ժամկետներում նախապատրաստում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պատասխան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զ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մասնակցում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աշխատանքային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ծրագրերի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մշակման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աշխատանքներին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4F7FB9" w:rsidRDefault="00973C48" w:rsidP="00CA4BD6">
      <w:pPr>
        <w:pStyle w:val="a3"/>
        <w:tabs>
          <w:tab w:val="left" w:pos="720"/>
        </w:tabs>
        <w:ind w:left="0"/>
        <w:jc w:val="both"/>
        <w:rPr>
          <w:sz w:val="22"/>
          <w:szCs w:val="22"/>
          <w:lang w:val="hy-AM"/>
        </w:rPr>
      </w:pPr>
      <w:r w:rsidRPr="00635F61">
        <w:rPr>
          <w:rFonts w:cs="Arial Armenian"/>
          <w:bCs/>
          <w:sz w:val="22"/>
          <w:szCs w:val="22"/>
          <w:lang w:val="hy-AM"/>
        </w:rPr>
        <w:t xml:space="preserve">է) </w:t>
      </w:r>
      <w:r w:rsidRPr="00635F61">
        <w:rPr>
          <w:sz w:val="22"/>
          <w:szCs w:val="22"/>
          <w:lang w:val="hy-AM"/>
        </w:rPr>
        <w:t>իրականացնում է համայնքի վարչական սահմաններում գտնվող հողերի նպատակային</w:t>
      </w:r>
      <w:r w:rsidRPr="004230AB">
        <w:rPr>
          <w:sz w:val="22"/>
          <w:szCs w:val="22"/>
          <w:lang w:val="hy-AM"/>
        </w:rPr>
        <w:t xml:space="preserve"> </w:t>
      </w:r>
      <w:r w:rsidRPr="00635F61">
        <w:rPr>
          <w:sz w:val="22"/>
          <w:szCs w:val="22"/>
          <w:lang w:val="hy-AM"/>
        </w:rPr>
        <w:t>օգտագործման, հողօգտագործողների կողմից հողային օրենսդրության պահանջների</w:t>
      </w:r>
      <w:r w:rsidRPr="004230AB">
        <w:rPr>
          <w:sz w:val="22"/>
          <w:szCs w:val="22"/>
          <w:lang w:val="hy-AM"/>
        </w:rPr>
        <w:t xml:space="preserve"> </w:t>
      </w:r>
      <w:r w:rsidRPr="00635F61">
        <w:rPr>
          <w:sz w:val="22"/>
          <w:szCs w:val="22"/>
          <w:lang w:val="hy-AM"/>
        </w:rPr>
        <w:t xml:space="preserve"> պահպանման նկատմամբ վերահսկողության աշխատանքներ</w:t>
      </w:r>
      <w:r w:rsidRPr="004F7FB9">
        <w:rPr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sz w:val="22"/>
          <w:szCs w:val="22"/>
          <w:lang w:val="hy-AM"/>
        </w:rPr>
      </w:pPr>
      <w:r w:rsidRPr="00973C48">
        <w:rPr>
          <w:sz w:val="22"/>
          <w:szCs w:val="22"/>
          <w:lang w:val="hy-AM"/>
        </w:rPr>
        <w:t>ը) կազմում է համայնքի սեփականություն համարվող հողերի օտարման կամ օգտագործման տրամադրման, ինքնակամ շինությունների օրինականացման և այլ քաղաքաշինական գործընթացների իրականացման ժամանակ պահանջվող քաղաքաշինական ծրագրային փաստաթղթեր, քաղաքաշինական բնույթի տեխնիկական եզրակացություններ, հատակագծեր, գծագրեր և այլ անհրաժեշտ փաստաթղթեր.</w:t>
      </w:r>
    </w:p>
    <w:p w:rsidR="00973C48" w:rsidRPr="004230AB" w:rsidRDefault="00973C48" w:rsidP="00CA4BD6">
      <w:pPr>
        <w:pStyle w:val="a3"/>
        <w:tabs>
          <w:tab w:val="left" w:pos="720"/>
        </w:tabs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635F61">
        <w:rPr>
          <w:rFonts w:cs="Arial Armenian"/>
          <w:bCs/>
          <w:sz w:val="22"/>
          <w:szCs w:val="22"/>
          <w:lang w:val="hy-AM"/>
        </w:rPr>
        <w:t xml:space="preserve">թ) </w:t>
      </w:r>
      <w:r w:rsidRPr="00635F61">
        <w:rPr>
          <w:bCs/>
          <w:sz w:val="22"/>
          <w:szCs w:val="22"/>
          <w:lang w:val="hy-AM"/>
        </w:rPr>
        <w:t>բաժնի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պետի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հանձնարարությամբ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ներկայացնում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է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առաջարկություններ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համայնքի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սեփականություն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համարվող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հողամասերի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սահմանված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կարգով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օտարման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կամ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օգտագործման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համար, ապահովում է ապօրինի հողազավթումների կանխարգելումը.</w:t>
      </w:r>
    </w:p>
    <w:p w:rsidR="00973C48" w:rsidRPr="00973C48" w:rsidRDefault="00973C48" w:rsidP="00CA4BD6">
      <w:pPr>
        <w:pStyle w:val="a3"/>
        <w:ind w:left="0"/>
        <w:jc w:val="both"/>
        <w:rPr>
          <w:color w:val="333333"/>
          <w:sz w:val="22"/>
          <w:szCs w:val="22"/>
          <w:shd w:val="clear" w:color="auto" w:fill="FFFFFF"/>
          <w:lang w:val="hy-AM"/>
        </w:rPr>
      </w:pPr>
      <w:r w:rsidRPr="00973C48">
        <w:rPr>
          <w:color w:val="333333"/>
          <w:sz w:val="22"/>
          <w:szCs w:val="22"/>
          <w:shd w:val="clear" w:color="auto" w:fill="FFFFFF"/>
          <w:lang w:val="hy-AM"/>
        </w:rPr>
        <w:t>ժ) հսկողություն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է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իրականացնում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համայնքների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օգտագործման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սխեմաների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գլխավոր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հատակագծերի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իրականացման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նկատմամբ.</w:t>
      </w:r>
    </w:p>
    <w:p w:rsidR="00973C48" w:rsidRPr="00973C48" w:rsidRDefault="00973C48" w:rsidP="00CA4BD6">
      <w:pPr>
        <w:pStyle w:val="a3"/>
        <w:ind w:left="0"/>
        <w:jc w:val="both"/>
        <w:rPr>
          <w:rFonts w:cs="Arial"/>
          <w:color w:val="333333"/>
          <w:sz w:val="22"/>
          <w:szCs w:val="22"/>
          <w:shd w:val="clear" w:color="auto" w:fill="FFFFFF"/>
          <w:lang w:val="hy-AM"/>
        </w:rPr>
      </w:pPr>
      <w:r w:rsidRPr="00973C48">
        <w:rPr>
          <w:bCs/>
          <w:sz w:val="22"/>
          <w:szCs w:val="22"/>
          <w:lang w:val="hy-AM"/>
        </w:rPr>
        <w:t xml:space="preserve">ի)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վերահսկողություն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է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իրականացնում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համայնքի 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ֆոնդի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նպատակային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օգտագործման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հողօգտագործողների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կողմից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օրենսդրության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պահանջների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պահպանման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նկատմամբ.</w:t>
      </w:r>
    </w:p>
    <w:p w:rsidR="00973C48" w:rsidRPr="00973C48" w:rsidRDefault="00973C48" w:rsidP="00CA4BD6">
      <w:pPr>
        <w:pStyle w:val="a3"/>
        <w:ind w:left="0"/>
        <w:jc w:val="both"/>
        <w:rPr>
          <w:rFonts w:cs="Arial"/>
          <w:color w:val="333333"/>
          <w:sz w:val="22"/>
          <w:szCs w:val="22"/>
          <w:shd w:val="clear" w:color="auto" w:fill="FFFFFF"/>
          <w:lang w:val="hy-AM"/>
        </w:rPr>
      </w:pPr>
      <w:r w:rsidRPr="00973C48">
        <w:rPr>
          <w:color w:val="333333"/>
          <w:sz w:val="22"/>
          <w:szCs w:val="22"/>
          <w:shd w:val="clear" w:color="auto" w:fill="FFFFFF"/>
          <w:lang w:val="hy-AM"/>
        </w:rPr>
        <w:t>լ) իրականացնում է համայնքի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վարչական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սահմանների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սահմանանիշերի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գեոդեզիական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և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այլ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հատուկ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տեղեկատվական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նշանների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և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կետերի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պահպանման աշխատանքներ.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color w:val="333333"/>
          <w:sz w:val="22"/>
          <w:szCs w:val="22"/>
          <w:shd w:val="clear" w:color="auto" w:fill="FFFFFF"/>
          <w:lang w:val="hy-AM"/>
        </w:rPr>
        <w:t>խ) մասնակցում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է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 xml:space="preserve"> 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ֆոնդի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նպատակային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օգտագործման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կադաստրի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վարման</w:t>
      </w:r>
      <w:r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    </w:t>
      </w:r>
      <w:r>
        <w:rPr>
          <w:rFonts w:cs="Arial"/>
          <w:color w:val="333333"/>
          <w:sz w:val="22"/>
          <w:szCs w:val="22"/>
          <w:shd w:val="clear" w:color="auto" w:fill="FFFFFF"/>
          <w:lang w:val="hy-AM"/>
        </w:rPr>
        <w:br/>
      </w:r>
      <w:r w:rsidRPr="00973C48">
        <w:rPr>
          <w:rFonts w:cs="Arial Armenian"/>
          <w:bCs/>
          <w:sz w:val="22"/>
          <w:szCs w:val="22"/>
          <w:lang w:val="hy-AM"/>
        </w:rPr>
        <w:t xml:space="preserve">ծ)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 իրականացնում է հարկային բազայի հողօգտագործողների հողերի կադաստրային տվյալների ճշտում.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t xml:space="preserve">կ) </w:t>
      </w:r>
      <w:r w:rsidRPr="00973C48">
        <w:rPr>
          <w:bCs/>
          <w:sz w:val="22"/>
          <w:szCs w:val="22"/>
          <w:lang w:val="hy-AM"/>
        </w:rPr>
        <w:t>իրականացնում է հսկողություն համայնքում քաղաքաշինական նպատակով տրամադրված հողերի պայմանագրերի և օտարված հողերի պահանջների կատարման նկատմամբ.</w:t>
      </w:r>
    </w:p>
    <w:p w:rsidR="00973C48" w:rsidRPr="00973C48" w:rsidRDefault="00973C48" w:rsidP="00CA4BD6">
      <w:pPr>
        <w:pStyle w:val="a3"/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lastRenderedPageBreak/>
        <w:t>հ) բաժնի պետի հանձնարարությամբ մասնակցում է անհրաժեշտ քաղաքաշինական սխեմաների կազմելու աշխատանքներին և ներկայացնում է առաջարկություն գոտիավորման սխեմաների վերաբերյալ.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t xml:space="preserve">ղ)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 աջակցում է բաժնին ճշգրտումներ իրականացնել գյուղատնտեսական նշանակության հողօգտագործողների կադաստրային բազաներում.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t>ճ) կատարում է բաժնի պետի այլ հանձնարարականներ:</w:t>
      </w:r>
    </w:p>
    <w:p w:rsidR="009F2A78" w:rsidRDefault="00CA4BD6" w:rsidP="00CA4BD6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hy-AM"/>
        </w:rPr>
      </w:pPr>
      <w:r w:rsidRPr="00CA4BD6">
        <w:rPr>
          <w:bCs/>
          <w:sz w:val="22"/>
          <w:szCs w:val="22"/>
          <w:lang w:val="hy-AM"/>
        </w:rPr>
        <w:t xml:space="preserve">        </w:t>
      </w:r>
      <w:bookmarkStart w:id="0" w:name="_GoBack"/>
      <w:bookmarkEnd w:id="0"/>
      <w:r w:rsidR="00973C48" w:rsidRPr="00635F61">
        <w:rPr>
          <w:bCs/>
          <w:sz w:val="22"/>
          <w:szCs w:val="22"/>
          <w:lang w:val="hy-AM"/>
        </w:rPr>
        <w:t>Բաժնի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առաջատար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մասնագետն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ունի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o</w:t>
      </w:r>
      <w:r w:rsidR="00973C48" w:rsidRPr="00635F61">
        <w:rPr>
          <w:bCs/>
          <w:sz w:val="22"/>
          <w:szCs w:val="22"/>
          <w:lang w:val="hy-AM"/>
        </w:rPr>
        <w:t>րենքով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, </w:t>
      </w:r>
      <w:r w:rsidR="00973C48" w:rsidRPr="00635F61">
        <w:rPr>
          <w:bCs/>
          <w:sz w:val="22"/>
          <w:szCs w:val="22"/>
          <w:lang w:val="hy-AM"/>
        </w:rPr>
        <w:t>իրավական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այլ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ակտերով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նախատեսված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այլ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իրավունքներ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և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կրում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է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այդ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ակտերով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նախատեսված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այլ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պարտականություններ</w:t>
      </w:r>
      <w:r w:rsidR="00973C48" w:rsidRPr="00635F61">
        <w:rPr>
          <w:rFonts w:cs="Arial Armenian"/>
          <w:bCs/>
          <w:sz w:val="22"/>
          <w:szCs w:val="22"/>
          <w:lang w:val="hy-AM"/>
        </w:rPr>
        <w:t>:</w:t>
      </w:r>
    </w:p>
    <w:p w:rsidR="00C90608" w:rsidRPr="009F2A78" w:rsidRDefault="00C90608" w:rsidP="00C20D70">
      <w:pPr>
        <w:pStyle w:val="a3"/>
        <w:shd w:val="clear" w:color="auto" w:fill="FFFFFF"/>
        <w:ind w:right="24"/>
        <w:jc w:val="both"/>
        <w:rPr>
          <w:sz w:val="22"/>
          <w:szCs w:val="22"/>
          <w:lang w:val="fr-FR"/>
        </w:rPr>
      </w:pPr>
    </w:p>
    <w:p w:rsidR="00B10822" w:rsidRPr="0052187A" w:rsidRDefault="009F2A78" w:rsidP="00C20D70">
      <w:pPr>
        <w:pStyle w:val="2"/>
        <w:spacing w:line="240" w:lineRule="auto"/>
        <w:ind w:left="0"/>
        <w:jc w:val="both"/>
        <w:rPr>
          <w:sz w:val="22"/>
          <w:szCs w:val="22"/>
          <w:lang w:val="hy-AM"/>
        </w:rPr>
      </w:pPr>
      <w:r w:rsidRPr="003A54EB">
        <w:rPr>
          <w:sz w:val="22"/>
          <w:szCs w:val="22"/>
          <w:lang w:val="hy-AM"/>
        </w:rPr>
        <w:t xml:space="preserve"> </w:t>
      </w:r>
      <w:r w:rsidR="008541FB"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C20D70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="00C00E91" w:rsidRPr="00C00E91">
        <w:rPr>
          <w:sz w:val="22"/>
          <w:szCs w:val="22"/>
          <w:lang w:val="hy-AM"/>
        </w:rPr>
        <w:t xml:space="preserve">   </w:t>
      </w:r>
      <w:r w:rsidR="00973C48" w:rsidRPr="0052187A">
        <w:rPr>
          <w:rFonts w:cs="Arial"/>
          <w:sz w:val="22"/>
          <w:szCs w:val="22"/>
          <w:lang w:val="hy-AM"/>
        </w:rPr>
        <w:t>Աշխատակազմի</w:t>
      </w:r>
      <w:r w:rsidR="00973C48" w:rsidRPr="0052187A">
        <w:rPr>
          <w:bCs/>
          <w:sz w:val="22"/>
          <w:szCs w:val="22"/>
          <w:lang w:val="hy-AM"/>
        </w:rPr>
        <w:t xml:space="preserve"> </w:t>
      </w:r>
      <w:r w:rsidR="00973C48">
        <w:rPr>
          <w:bCs/>
          <w:sz w:val="22"/>
          <w:szCs w:val="22"/>
          <w:lang w:val="hy-AM"/>
        </w:rPr>
        <w:t>երկրորդ</w:t>
      </w:r>
      <w:r w:rsidR="00973C48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C20D70">
      <w:pPr>
        <w:pStyle w:val="a3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C20D70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C20D70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C20D70">
      <w:pPr>
        <w:pStyle w:val="a3"/>
        <w:numPr>
          <w:ilvl w:val="0"/>
          <w:numId w:val="7"/>
        </w:numPr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C20D70">
      <w:pPr>
        <w:pStyle w:val="a3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C20D70">
      <w:pPr>
        <w:widowControl w:val="0"/>
        <w:shd w:val="clear" w:color="auto" w:fill="FFFFFF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9F2A78" w:rsidRPr="009F2A78">
        <w:rPr>
          <w:b/>
          <w:i/>
          <w:sz w:val="22"/>
          <w:szCs w:val="22"/>
          <w:lang w:val="hy-AM"/>
        </w:rPr>
        <w:t>հու</w:t>
      </w:r>
      <w:r w:rsidR="00C90608" w:rsidRPr="00C90608">
        <w:rPr>
          <w:b/>
          <w:i/>
          <w:sz w:val="22"/>
          <w:szCs w:val="22"/>
          <w:lang w:val="hy-AM"/>
        </w:rPr>
        <w:t>լ</w:t>
      </w:r>
      <w:r w:rsidR="009F2A78" w:rsidRPr="009F2A78">
        <w:rPr>
          <w:b/>
          <w:i/>
          <w:sz w:val="22"/>
          <w:szCs w:val="22"/>
          <w:lang w:val="hy-AM"/>
        </w:rPr>
        <w:t>իսի</w:t>
      </w:r>
      <w:r>
        <w:rPr>
          <w:b/>
          <w:i/>
          <w:sz w:val="22"/>
          <w:szCs w:val="22"/>
          <w:lang w:val="hy-AM"/>
        </w:rPr>
        <w:t xml:space="preserve"> </w:t>
      </w:r>
      <w:r w:rsidR="00C90608" w:rsidRPr="00C90608">
        <w:rPr>
          <w:b/>
          <w:i/>
          <w:sz w:val="22"/>
          <w:szCs w:val="22"/>
          <w:lang w:val="hy-AM"/>
        </w:rPr>
        <w:t>11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C20D70">
      <w:pPr>
        <w:pStyle w:val="a3"/>
        <w:jc w:val="both"/>
        <w:rPr>
          <w:sz w:val="22"/>
          <w:szCs w:val="22"/>
          <w:lang w:val="hy-AM"/>
        </w:rPr>
      </w:pPr>
    </w:p>
    <w:p w:rsidR="00273517" w:rsidRDefault="00273517" w:rsidP="00C20D70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C20D70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C20D70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</w:p>
    <w:p w:rsidR="00273517" w:rsidRDefault="00273517" w:rsidP="00C20D70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C20D70">
      <w:pPr>
        <w:rPr>
          <w:sz w:val="22"/>
          <w:szCs w:val="22"/>
          <w:lang w:val="hy-AM"/>
        </w:rPr>
      </w:pPr>
    </w:p>
    <w:p w:rsidR="009563AA" w:rsidRPr="0052187A" w:rsidRDefault="00273517" w:rsidP="00C20D70">
      <w:pPr>
        <w:widowControl w:val="0"/>
        <w:shd w:val="clear" w:color="auto" w:fill="FFFFFF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Փաստաթղթերի ընդունման վերջին ժամկետն է 2025 թվականի </w:t>
      </w:r>
      <w:r w:rsidR="009F2A78" w:rsidRPr="009F2A78">
        <w:rPr>
          <w:b/>
          <w:i/>
          <w:sz w:val="22"/>
          <w:szCs w:val="22"/>
          <w:lang w:val="hy-AM"/>
        </w:rPr>
        <w:t>հունիսի</w:t>
      </w:r>
      <w:r>
        <w:rPr>
          <w:b/>
          <w:i/>
          <w:sz w:val="22"/>
          <w:szCs w:val="22"/>
          <w:lang w:val="hy-AM"/>
        </w:rPr>
        <w:t xml:space="preserve"> </w:t>
      </w:r>
      <w:r w:rsidR="00C90608" w:rsidRPr="00C90608">
        <w:rPr>
          <w:b/>
          <w:i/>
          <w:sz w:val="22"/>
          <w:szCs w:val="22"/>
          <w:lang w:val="hy-AM"/>
        </w:rPr>
        <w:t>25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1A" w:rsidRDefault="00EF671A" w:rsidP="008541FB">
      <w:r>
        <w:separator/>
      </w:r>
    </w:p>
  </w:endnote>
  <w:endnote w:type="continuationSeparator" w:id="0">
    <w:p w:rsidR="00EF671A" w:rsidRDefault="00EF671A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CA4BD6">
              <w:rPr>
                <w:b/>
                <w:bCs/>
                <w:noProof/>
                <w:sz w:val="20"/>
                <w:szCs w:val="20"/>
              </w:rPr>
              <w:t>1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CA4BD6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1A" w:rsidRDefault="00EF671A" w:rsidP="008541FB">
      <w:r>
        <w:separator/>
      </w:r>
    </w:p>
  </w:footnote>
  <w:footnote w:type="continuationSeparator" w:id="0">
    <w:p w:rsidR="00EF671A" w:rsidRDefault="00EF671A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D1FF6"/>
    <w:rsid w:val="004E1C31"/>
    <w:rsid w:val="005071B3"/>
    <w:rsid w:val="0052187A"/>
    <w:rsid w:val="00543F92"/>
    <w:rsid w:val="00561AE5"/>
    <w:rsid w:val="00707A42"/>
    <w:rsid w:val="00763F28"/>
    <w:rsid w:val="00775030"/>
    <w:rsid w:val="007B056F"/>
    <w:rsid w:val="007F6EAA"/>
    <w:rsid w:val="00810B53"/>
    <w:rsid w:val="008541FB"/>
    <w:rsid w:val="008548FB"/>
    <w:rsid w:val="00857F06"/>
    <w:rsid w:val="0086291B"/>
    <w:rsid w:val="00942994"/>
    <w:rsid w:val="009563AA"/>
    <w:rsid w:val="00973C48"/>
    <w:rsid w:val="009A2E28"/>
    <w:rsid w:val="009B2352"/>
    <w:rsid w:val="009F2A78"/>
    <w:rsid w:val="00A70E80"/>
    <w:rsid w:val="00AD2C38"/>
    <w:rsid w:val="00AF00CA"/>
    <w:rsid w:val="00AF2B72"/>
    <w:rsid w:val="00B10822"/>
    <w:rsid w:val="00B20915"/>
    <w:rsid w:val="00BA0FCF"/>
    <w:rsid w:val="00BD1630"/>
    <w:rsid w:val="00BD58BC"/>
    <w:rsid w:val="00C00E91"/>
    <w:rsid w:val="00C20D70"/>
    <w:rsid w:val="00C5641C"/>
    <w:rsid w:val="00C90608"/>
    <w:rsid w:val="00CA4BD6"/>
    <w:rsid w:val="00CE17ED"/>
    <w:rsid w:val="00CF62B2"/>
    <w:rsid w:val="00D1394E"/>
    <w:rsid w:val="00D22EBD"/>
    <w:rsid w:val="00DB4FA2"/>
    <w:rsid w:val="00E313E0"/>
    <w:rsid w:val="00E512BE"/>
    <w:rsid w:val="00E52C30"/>
    <w:rsid w:val="00EB43A5"/>
    <w:rsid w:val="00EF671A"/>
    <w:rsid w:val="00F25670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6C24EC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14</cp:revision>
  <cp:lastPrinted>2025-05-23T13:05:00Z</cp:lastPrinted>
  <dcterms:created xsi:type="dcterms:W3CDTF">2025-01-31T08:45:00Z</dcterms:created>
  <dcterms:modified xsi:type="dcterms:W3CDTF">2025-06-11T05:46:00Z</dcterms:modified>
</cp:coreProperties>
</file>