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Հավելված</w:t>
      </w:r>
      <w:r w:rsidRPr="00901883">
        <w:rPr>
          <w:rFonts w:ascii="GHEA Grapalat" w:hAnsi="GHEA Grapalat"/>
          <w:bCs/>
          <w:sz w:val="20"/>
          <w:lang w:val="hy-AM"/>
        </w:rPr>
        <w:t xml:space="preserve"> N </w:t>
      </w:r>
      <w:r w:rsidR="00361196" w:rsidRPr="00901883">
        <w:rPr>
          <w:rFonts w:ascii="GHEA Grapalat" w:hAnsi="GHEA Grapalat"/>
          <w:bCs/>
          <w:sz w:val="20"/>
          <w:lang w:val="hy-AM"/>
        </w:rPr>
        <w:t>3</w:t>
      </w:r>
      <w:r w:rsidR="00672E53">
        <w:rPr>
          <w:rFonts w:ascii="GHEA Grapalat" w:hAnsi="GHEA Grapalat"/>
          <w:bCs/>
          <w:sz w:val="20"/>
          <w:lang w:val="hy-AM"/>
        </w:rPr>
        <w:t>0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Երևանի</w:t>
      </w: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Pr="00901883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/>
          <w:bCs/>
          <w:sz w:val="20"/>
          <w:lang w:val="hy-AM"/>
        </w:rPr>
        <w:t xml:space="preserve"> 20</w:t>
      </w:r>
      <w:r w:rsidR="00672E53">
        <w:rPr>
          <w:rFonts w:ascii="GHEA Grapalat" w:hAnsi="GHEA Grapalat"/>
          <w:bCs/>
          <w:sz w:val="20"/>
          <w:lang w:val="hy-AM"/>
        </w:rPr>
        <w:t>17</w:t>
      </w:r>
      <w:r w:rsidR="00946F5A">
        <w:rPr>
          <w:rFonts w:ascii="GHEA Grapalat" w:hAnsi="GHEA Grapalat"/>
          <w:bCs/>
          <w:sz w:val="20"/>
          <w:lang w:val="hy-AM"/>
        </w:rPr>
        <w:t xml:space="preserve"> </w:t>
      </w:r>
      <w:r w:rsidR="00946F5A">
        <w:rPr>
          <w:rFonts w:ascii="GHEA Grapalat" w:hAnsi="GHEA Grapalat" w:cs="Sylfaen"/>
          <w:bCs/>
          <w:sz w:val="20"/>
          <w:lang w:val="hy-AM"/>
        </w:rPr>
        <w:t>թվականի</w:t>
      </w:r>
      <w:r w:rsidRPr="00901883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72E53">
        <w:rPr>
          <w:rFonts w:ascii="GHEA Grapalat" w:hAnsi="GHEA Grapalat" w:cs="Sylfaen"/>
          <w:bCs/>
          <w:sz w:val="20"/>
          <w:lang w:val="hy-AM"/>
        </w:rPr>
        <w:t>հուլիսի 11</w:t>
      </w:r>
      <w:r w:rsidR="00361196" w:rsidRPr="00901883">
        <w:rPr>
          <w:rFonts w:ascii="GHEA Grapalat" w:hAnsi="GHEA Grapalat" w:cs="Sylfaen"/>
          <w:bCs/>
          <w:sz w:val="20"/>
          <w:lang w:val="hy-AM"/>
        </w:rPr>
        <w:t>-</w:t>
      </w:r>
      <w:r w:rsidRPr="00901883">
        <w:rPr>
          <w:rFonts w:ascii="GHEA Grapalat" w:hAnsi="GHEA Grapalat" w:cs="Sylfaen"/>
          <w:bCs/>
          <w:sz w:val="20"/>
          <w:lang w:val="hy-AM"/>
        </w:rPr>
        <w:t>ի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01883">
        <w:rPr>
          <w:rFonts w:ascii="GHEA Grapalat" w:hAnsi="GHEA Grapalat"/>
          <w:bCs/>
          <w:sz w:val="20"/>
          <w:lang w:val="hy-AM"/>
        </w:rPr>
        <w:t xml:space="preserve"> N </w:t>
      </w:r>
      <w:r w:rsidR="00672E53">
        <w:rPr>
          <w:rFonts w:ascii="GHEA Grapalat" w:hAnsi="GHEA Grapalat"/>
          <w:bCs/>
          <w:sz w:val="20"/>
          <w:lang w:val="hy-AM"/>
        </w:rPr>
        <w:t>2359</w:t>
      </w:r>
      <w:r w:rsidR="00361196" w:rsidRPr="00901883">
        <w:rPr>
          <w:rFonts w:ascii="GHEA Grapalat" w:hAnsi="GHEA Grapalat"/>
          <w:bCs/>
          <w:sz w:val="20"/>
          <w:lang w:val="hy-AM"/>
        </w:rPr>
        <w:t>-</w:t>
      </w:r>
      <w:r w:rsidRPr="00901883">
        <w:rPr>
          <w:rFonts w:ascii="GHEA Grapalat" w:hAnsi="GHEA Grapalat" w:cs="Sylfaen"/>
          <w:bCs/>
          <w:sz w:val="20"/>
          <w:lang w:val="hy-AM"/>
        </w:rPr>
        <w:t>Ա</w:t>
      </w: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Pr="00901883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901883" w:rsidTr="008132C2">
        <w:tc>
          <w:tcPr>
            <w:tcW w:w="10690" w:type="dxa"/>
            <w:shd w:val="clear" w:color="auto" w:fill="auto"/>
          </w:tcPr>
          <w:p w:rsidR="00741E95" w:rsidRPr="00901883" w:rsidRDefault="00741E95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6D479A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901883" w:rsidRDefault="001104CF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61196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946F5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946F5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946F5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46F5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946F5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672E5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554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901883" w:rsidRDefault="00293E2C" w:rsidP="00901883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901883" w:rsidTr="008132C2">
        <w:tc>
          <w:tcPr>
            <w:tcW w:w="10690" w:type="dxa"/>
            <w:shd w:val="clear" w:color="auto" w:fill="auto"/>
          </w:tcPr>
          <w:p w:rsidR="0032255B" w:rsidRPr="00901883" w:rsidRDefault="0032255B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6D479A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901883" w:rsidRDefault="00B759F0" w:rsidP="00901883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901883" w:rsidTr="008132C2">
        <w:tc>
          <w:tcPr>
            <w:tcW w:w="10690" w:type="dxa"/>
            <w:shd w:val="clear" w:color="auto" w:fill="auto"/>
          </w:tcPr>
          <w:p w:rsidR="00CF3932" w:rsidRPr="00901883" w:rsidRDefault="00CF3932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6D479A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901883" w:rsidRDefault="00BF6F7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901883" w:rsidRDefault="0045571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901883" w:rsidTr="008132C2">
        <w:tc>
          <w:tcPr>
            <w:tcW w:w="10690" w:type="dxa"/>
            <w:shd w:val="clear" w:color="auto" w:fill="auto"/>
          </w:tcPr>
          <w:p w:rsidR="00291F1D" w:rsidRPr="00901883" w:rsidRDefault="00291F1D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6D479A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901883" w:rsidRDefault="00FA1E7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901883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901883" w:rsidRDefault="0090188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901883" w:rsidRDefault="0020188D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901883" w:rsidRDefault="00895BAC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901883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901883" w:rsidTr="008132C2">
        <w:tc>
          <w:tcPr>
            <w:tcW w:w="10690" w:type="dxa"/>
            <w:shd w:val="clear" w:color="auto" w:fill="auto"/>
          </w:tcPr>
          <w:p w:rsidR="00902E28" w:rsidRPr="00901883" w:rsidRDefault="00902E28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6D479A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901883" w:rsidRDefault="00160D49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901883" w:rsidRDefault="00CC1C7B" w:rsidP="00901883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901883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189D" w:rsidRDefault="00AA189D" w:rsidP="000B1FF2">
      <w:r>
        <w:separator/>
      </w:r>
    </w:p>
  </w:endnote>
  <w:endnote w:type="continuationSeparator" w:id="0">
    <w:p w:rsidR="00AA189D" w:rsidRDefault="00AA189D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189D" w:rsidRDefault="00AA189D" w:rsidP="000B1FF2">
      <w:r>
        <w:separator/>
      </w:r>
    </w:p>
  </w:footnote>
  <w:footnote w:type="continuationSeparator" w:id="0">
    <w:p w:rsidR="00AA189D" w:rsidRDefault="00AA189D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746611">
    <w:abstractNumId w:val="7"/>
  </w:num>
  <w:num w:numId="2" w16cid:durableId="98649302">
    <w:abstractNumId w:val="4"/>
  </w:num>
  <w:num w:numId="3" w16cid:durableId="738093738">
    <w:abstractNumId w:val="1"/>
  </w:num>
  <w:num w:numId="4" w16cid:durableId="2017421918">
    <w:abstractNumId w:val="3"/>
  </w:num>
  <w:num w:numId="5" w16cid:durableId="471867321">
    <w:abstractNumId w:val="5"/>
  </w:num>
  <w:num w:numId="6" w16cid:durableId="1025057297">
    <w:abstractNumId w:val="0"/>
  </w:num>
  <w:num w:numId="7" w16cid:durableId="2047638171">
    <w:abstractNumId w:val="6"/>
  </w:num>
  <w:num w:numId="8" w16cid:durableId="1308705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230A2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91AA3"/>
    <w:rsid w:val="001B0E43"/>
    <w:rsid w:val="001B2E9D"/>
    <w:rsid w:val="001C44C4"/>
    <w:rsid w:val="001E6907"/>
    <w:rsid w:val="001F37CC"/>
    <w:rsid w:val="0020188D"/>
    <w:rsid w:val="0022672A"/>
    <w:rsid w:val="00234FD2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5ABC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72E53"/>
    <w:rsid w:val="0068044E"/>
    <w:rsid w:val="006A2E54"/>
    <w:rsid w:val="006B2BEC"/>
    <w:rsid w:val="006B6B72"/>
    <w:rsid w:val="006C3715"/>
    <w:rsid w:val="006D2F24"/>
    <w:rsid w:val="006D479A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46F5A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A189D"/>
    <w:rsid w:val="00AE7CA7"/>
    <w:rsid w:val="00AF2FD4"/>
    <w:rsid w:val="00AF707D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2024-12-12T13:43:00Z</dcterms:created>
  <dcterms:modified xsi:type="dcterms:W3CDTF">2024-12-12T13:43:00Z</dcterms:modified>
</cp:coreProperties>
</file>