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3988CA1D" w:rsidR="003D54AC" w:rsidRDefault="00097A4B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hAnsi="GHEA Grapalat" w:cs="Sylfaen"/>
          <w:b/>
          <w:i/>
          <w:noProof/>
          <w:lang w:val="hy-AM"/>
        </w:rPr>
      </w:pPr>
      <w:r>
        <w:rPr>
          <w:rFonts w:ascii="GHEA Grapalat" w:hAnsi="GHEA Grapalat" w:cs="Sylfaen"/>
          <w:b/>
          <w:i/>
          <w:noProof/>
          <w:lang w:val="hy-AM"/>
        </w:rPr>
        <w:t>Հայաստանի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Հանրապետությունում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հսկիչ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 xml:space="preserve">սարքերի </w:t>
      </w:r>
      <w:r>
        <w:rPr>
          <w:rFonts w:ascii="GHEA Grapalat" w:hAnsi="GHEA Grapalat" w:cs="Times Armenian"/>
          <w:b/>
          <w:i/>
          <w:noProof/>
          <w:lang w:val="hy-AM"/>
        </w:rPr>
        <w:t>(</w:t>
      </w:r>
      <w:r>
        <w:rPr>
          <w:rFonts w:ascii="GHEA Grapalat" w:hAnsi="GHEA Grapalat" w:cs="Sylfaen"/>
          <w:b/>
          <w:i/>
          <w:noProof/>
          <w:lang w:val="hy-AM"/>
        </w:rPr>
        <w:t>թվային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տ</w:t>
      </w:r>
      <w:r>
        <w:rPr>
          <w:rFonts w:ascii="GHEA Grapalat" w:hAnsi="GHEA Grapalat" w:cs="Sylfaen"/>
          <w:b/>
          <w:i/>
          <w:noProof/>
          <w:lang w:val="hy-AM"/>
        </w:rPr>
        <w:t>ախոգրաֆի</w:t>
      </w:r>
      <w:r>
        <w:rPr>
          <w:rFonts w:ascii="GHEA Grapalat" w:hAnsi="GHEA Grapalat"/>
          <w:b/>
          <w:i/>
          <w:noProof/>
          <w:lang w:val="hy-AM"/>
        </w:rPr>
        <w:t>)</w:t>
      </w:r>
      <w:r>
        <w:rPr>
          <w:rFonts w:ascii="GHEA Grapalat" w:hAnsi="GHEA Grapalat"/>
          <w:b/>
          <w:i/>
          <w:noProof/>
          <w:lang w:val="pt-BR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համակարգի</w:t>
      </w:r>
      <w:r>
        <w:rPr>
          <w:rFonts w:ascii="GHEA Grapalat" w:hAnsi="GHEA Grapalat" w:cs="Sylfaen"/>
          <w:b/>
          <w:i/>
          <w:noProof/>
          <w:lang w:val="pt-BR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պահպանում</w:t>
      </w:r>
      <w:r>
        <w:rPr>
          <w:rFonts w:ascii="GHEA Grapalat" w:hAnsi="GHEA Grapalat" w:cs="Sylfaen"/>
          <w:b/>
          <w:i/>
          <w:noProof/>
          <w:lang w:val="pt-BR"/>
        </w:rPr>
        <w:t xml:space="preserve"> (</w:t>
      </w:r>
      <w:r>
        <w:rPr>
          <w:rFonts w:ascii="GHEA Grapalat" w:hAnsi="GHEA Grapalat" w:cs="Sylfaen"/>
          <w:b/>
          <w:i/>
          <w:noProof/>
          <w:lang w:val="hy-AM"/>
        </w:rPr>
        <w:t>սպասարկում</w:t>
      </w:r>
      <w:r>
        <w:rPr>
          <w:rFonts w:ascii="GHEA Grapalat" w:hAnsi="GHEA Grapalat" w:cs="Sylfaen"/>
          <w:b/>
          <w:i/>
          <w:noProof/>
          <w:lang w:val="pt-BR"/>
        </w:rPr>
        <w:t xml:space="preserve"> )</w:t>
      </w:r>
      <w:r>
        <w:rPr>
          <w:rFonts w:ascii="GHEA Grapalat" w:hAnsi="GHEA Grapalat" w:cs="Sylfaen"/>
          <w:b/>
          <w:i/>
          <w:noProof/>
          <w:lang w:val="hy-AM"/>
        </w:rPr>
        <w:t xml:space="preserve"> և տախոգրաֆի քարտերի արտադրություն</w:t>
      </w:r>
    </w:p>
    <w:p w14:paraId="4FBE9400" w14:textId="77777777" w:rsidR="00097A4B" w:rsidRPr="003D54AC" w:rsidRDefault="00097A4B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43C7D918" w:rsidR="003D54AC" w:rsidRPr="00460100" w:rsidRDefault="00097A4B" w:rsidP="00460100">
            <w:pPr>
              <w:ind w:firstLine="720"/>
              <w:jc w:val="center"/>
              <w:rPr>
                <w:rFonts w:ascii="GHEA Grapalat" w:hAnsi="GHEA Grapalat"/>
                <w:b/>
                <w:i/>
                <w:iCs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57C62971" w:rsidR="003D54AC" w:rsidRPr="003D54AC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1049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2AD0273F" w:rsidR="003D54AC" w:rsidRPr="00460100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1DF36FDC" w:rsidR="003D54AC" w:rsidRPr="00460100" w:rsidRDefault="00097A4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2011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2201284A" w:rsidR="003D54AC" w:rsidRPr="00460100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Շարունակական 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B62E9D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DB99" w14:textId="77777777" w:rsidR="00910F57" w:rsidRDefault="00910F57" w:rsidP="003D54AC">
            <w:pPr>
              <w:spacing w:after="0" w:line="240" w:lineRule="auto"/>
              <w:contextualSpacing/>
              <w:rPr>
                <w:rFonts w:ascii="GHEA Grapalat" w:hAnsi="GHEA Grapalat" w:cs="Times Armeni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1․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Թվային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տախոգրաֆի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համակարգի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անընդհատ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ու անխափան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ապահովում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</w:p>
          <w:p w14:paraId="74E4A1AD" w14:textId="6C6BDC2A" w:rsidR="003D54AC" w:rsidRPr="00910F57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Թվային 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ախոգրաֆի 4 տեսակի քար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տերի պատրաստում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910F5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af-ZA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2B8800BA" w:rsidR="003D54AC" w:rsidRPr="00097A4B" w:rsidRDefault="00097A4B" w:rsidP="00097A4B">
            <w:pPr>
              <w:jc w:val="both"/>
              <w:rPr>
                <w:rFonts w:ascii="GHEA Grapalat" w:hAnsi="GHEA Grapalat"/>
                <w:lang w:val="fr-FR"/>
              </w:rPr>
            </w:pPr>
            <w:r>
              <w:rPr>
                <w:rFonts w:ascii="GHEA Grapalat" w:hAnsi="GHEA Grapalat"/>
                <w:lang w:val="fr-FR"/>
              </w:rPr>
              <w:t xml:space="preserve">2006 </w:t>
            </w:r>
            <w:r>
              <w:rPr>
                <w:rFonts w:ascii="GHEA Grapalat" w:hAnsi="GHEA Grapalat" w:cs="Sylfaen"/>
                <w:lang w:val="fr-FR"/>
              </w:rPr>
              <w:t>թվականին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Հայաստանի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Հանրապետությունը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միացել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է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/>
                <w:lang w:val="fr-FR"/>
              </w:rPr>
              <w:t>«</w:t>
            </w:r>
            <w:r>
              <w:rPr>
                <w:rFonts w:ascii="GHEA Grapalat" w:hAnsi="GHEA Grapalat" w:cs="Sylfaen"/>
                <w:lang w:val="fr-FR"/>
              </w:rPr>
              <w:t>Միջազգային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ավտոճանապարհային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փոխադրումներ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կատարող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տրանսպորտային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միջոցների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անձնակազմի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աշխատանքի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մասին»</w:t>
            </w:r>
            <w:r>
              <w:rPr>
                <w:rFonts w:ascii="GHEA Grapalat" w:hAnsi="GHEA Grapalat" w:cs="Times Armenian"/>
                <w:lang w:val="fr-FR"/>
              </w:rPr>
              <w:t xml:space="preserve"> AET</w:t>
            </w:r>
            <w:r>
              <w:rPr>
                <w:rFonts w:ascii="GHEA Grapalat" w:hAnsi="GHEA Grapalat"/>
                <w:lang w:val="fr-FR"/>
              </w:rPr>
              <w:t xml:space="preserve">R </w:t>
            </w:r>
            <w:r>
              <w:rPr>
                <w:rFonts w:ascii="GHEA Grapalat" w:hAnsi="GHEA Grapalat" w:cs="Sylfaen"/>
                <w:lang w:val="fr-FR"/>
              </w:rPr>
              <w:t>Եվրոպական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համաձայնագրին</w:t>
            </w:r>
            <w:r>
              <w:rPr>
                <w:rFonts w:ascii="GHEA Grapalat" w:hAnsi="GHEA Grapalat" w:cs="Times Armenian"/>
                <w:lang w:val="fr-FR"/>
              </w:rPr>
              <w:t xml:space="preserve">, </w:t>
            </w:r>
            <w:r>
              <w:rPr>
                <w:rFonts w:ascii="GHEA Grapalat" w:hAnsi="GHEA Grapalat" w:cs="Sylfaen"/>
                <w:lang w:val="fr-FR"/>
              </w:rPr>
              <w:t>որով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սահմանված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է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վարորդի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աշխատանքի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ռեժիմը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և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որի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բաղկացուցիչ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մասերից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մեկ</w:t>
            </w:r>
            <w:r>
              <w:rPr>
                <w:rFonts w:ascii="GHEA Grapalat" w:hAnsi="GHEA Grapalat" w:cs="Sylfaen"/>
                <w:lang w:val="hy-AM"/>
              </w:rPr>
              <w:t>ը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հսկիչ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սարքի</w:t>
            </w:r>
            <w:r>
              <w:rPr>
                <w:rFonts w:ascii="GHEA Grapalat" w:hAnsi="GHEA Grapalat" w:cs="Times Armenian"/>
                <w:lang w:val="fr-FR"/>
              </w:rPr>
              <w:t xml:space="preserve"> (</w:t>
            </w:r>
            <w:r>
              <w:rPr>
                <w:rFonts w:ascii="GHEA Grapalat" w:hAnsi="GHEA Grapalat" w:cs="Sylfaen"/>
                <w:lang w:val="fr-FR"/>
              </w:rPr>
              <w:t>թվային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տախոգրաֆի</w:t>
            </w:r>
            <w:r>
              <w:rPr>
                <w:rFonts w:ascii="GHEA Grapalat" w:hAnsi="GHEA Grapalat" w:cs="Times Armenian"/>
                <w:lang w:val="fr-FR"/>
              </w:rPr>
              <w:t xml:space="preserve">) </w:t>
            </w:r>
            <w:r>
              <w:rPr>
                <w:rFonts w:ascii="GHEA Grapalat" w:hAnsi="GHEA Grapalat" w:cs="Times Armenian"/>
                <w:lang w:val="hy-AM"/>
              </w:rPr>
              <w:t xml:space="preserve">համակարգի </w:t>
            </w:r>
            <w:r>
              <w:rPr>
                <w:rFonts w:ascii="GHEA Grapalat" w:hAnsi="GHEA Grapalat" w:cs="Sylfaen"/>
                <w:lang w:val="fr-FR"/>
              </w:rPr>
              <w:t>ներդրում</w:t>
            </w:r>
            <w:r>
              <w:rPr>
                <w:rFonts w:ascii="GHEA Grapalat" w:hAnsi="GHEA Grapalat" w:cs="Sylfaen"/>
                <w:lang w:val="hy-AM"/>
              </w:rPr>
              <w:t>ն է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համաձայնագրի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անդամ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պետություններում</w:t>
            </w:r>
            <w:r>
              <w:rPr>
                <w:rFonts w:ascii="GHEA Grapalat" w:hAnsi="GHEA Grapalat" w:cs="Times Armenian"/>
                <w:lang w:val="fr-FR"/>
              </w:rPr>
              <w:t xml:space="preserve">, </w:t>
            </w:r>
            <w:r>
              <w:rPr>
                <w:rFonts w:ascii="GHEA Grapalat" w:hAnsi="GHEA Grapalat" w:cs="Sylfaen"/>
                <w:lang w:val="fr-FR"/>
              </w:rPr>
              <w:t>որպեսզի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հնարավոր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լինի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ապահովել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միջպետական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բեռնափոխադրումներում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ներգրավված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վարորդների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աշխատանքի</w:t>
            </w:r>
            <w:r>
              <w:rPr>
                <w:rFonts w:ascii="GHEA Grapalat" w:hAnsi="GHEA Grapalat" w:cs="Sylfaen"/>
                <w:lang w:val="hy-AM"/>
              </w:rPr>
              <w:t xml:space="preserve"> և հանգստի ռեժիմի վերահսկողությունը</w:t>
            </w:r>
            <w:r>
              <w:rPr>
                <w:rFonts w:ascii="GHEA Grapalat" w:hAnsi="GHEA Grapalat"/>
                <w:lang w:val="fr-FR"/>
              </w:rPr>
              <w:t>:</w:t>
            </w:r>
          </w:p>
        </w:tc>
      </w:tr>
      <w:tr w:rsidR="003D54A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D54AC" w:rsidRPr="00B62E9D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58A4" w14:textId="77777777" w:rsidR="0097475C" w:rsidRDefault="002B10AC" w:rsidP="002B10AC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lang w:val="fr-FR"/>
              </w:rPr>
              <w:lastRenderedPageBreak/>
              <w:t>«</w:t>
            </w:r>
            <w:r>
              <w:rPr>
                <w:rFonts w:ascii="GHEA Grapalat" w:hAnsi="GHEA Grapalat" w:cs="Sylfaen"/>
                <w:lang w:val="hy-AM"/>
              </w:rPr>
              <w:t>Միջազգային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ավտոճանապարհային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փոխադրումներ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կատարող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տրանսպորտային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միջոցների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անձնակազմի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աշխատանքի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1970 թվականի հուլիսի 1-ին Ժնևում կատարված  համաձայնագիր, </w:t>
            </w:r>
          </w:p>
          <w:p w14:paraId="19D8C45F" w14:textId="5112528A" w:rsidR="0097475C" w:rsidRDefault="002B10AC" w:rsidP="002B10AC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Ավտոմոբիլային տրանսպորտի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օրենք, </w:t>
            </w:r>
          </w:p>
          <w:p w14:paraId="74E4A1BC" w14:textId="32C06468" w:rsidR="00EC69B8" w:rsidRPr="00EC69B8" w:rsidRDefault="002B10AC" w:rsidP="002B10AC">
            <w:pPr>
              <w:rPr>
                <w:rFonts w:ascii="GHEA Grapalat" w:hAnsi="GHEA Grapalat" w:cs="Arial Armenia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կառավարության 2011 թվականի մարտի 10-ի N 231-Ն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293" w14:textId="338CD948" w:rsidR="002B10AC" w:rsidRPr="002B10AC" w:rsidRDefault="002B10AC" w:rsidP="002B10AC">
            <w:pPr>
              <w:spacing w:line="240" w:lineRule="auto"/>
              <w:ind w:firstLine="720"/>
              <w:jc w:val="both"/>
              <w:rPr>
                <w:rFonts w:ascii="GHEA Grapalat" w:hAnsi="GHEA Grapalat" w:cs="Sylfaen"/>
                <w:color w:val="000000"/>
                <w:lang w:val="fr-FR"/>
              </w:rPr>
            </w:pPr>
            <w:r>
              <w:rPr>
                <w:rFonts w:ascii="GHEA Grapalat" w:hAnsi="GHEA Grapalat" w:cs="Sylfaen"/>
                <w:color w:val="000000"/>
                <w:lang w:val="fr-FR"/>
              </w:rPr>
              <w:t>Թվային տախոգրաֆի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համակարգը ՀՀ-ում ներդրվել է 2011 թվականից։ Համակարգի գործարկումը ապահովում է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Հանրապետությունում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և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Հանրապետության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տարածքից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ավտոմ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>ո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բիլային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տրանսպորտով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միջպետական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բեռնափոխադրումներ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և ուղևորափոխադրումներ իրականացնող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վարորդների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աշխատանքի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ռեժիմների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սահմանումը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և վերահսկողությունը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հ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>սկիչ սարքերի (թվային տախոգրաֆների) քարտերի տրամադրումը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 xml:space="preserve"> և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տրանսպորտային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միջոցների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ապահովումը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տեխնիկական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սարքավորումներով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: </w:t>
            </w:r>
          </w:p>
          <w:p w14:paraId="74E4A1BD" w14:textId="3E340951" w:rsidR="00D0223C" w:rsidRPr="002B10AC" w:rsidRDefault="002B10AC" w:rsidP="00710A39">
            <w:pPr>
              <w:spacing w:line="240" w:lineRule="auto"/>
              <w:ind w:firstLine="720"/>
              <w:jc w:val="both"/>
              <w:rPr>
                <w:rFonts w:ascii="GHEA Grapalat" w:hAnsi="GHEA Grapalat" w:cs="Sylfaen"/>
                <w:color w:val="000000"/>
                <w:lang w:val="fr-FR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t>Տախոգրաֆի ք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արտերի տրամադրման համար  «Պետական տուրքի մասին» Հայաստանի Հանրապետության օրենքո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 xml:space="preserve">վ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թվային տախոգրաֆի քարտերի տրամադրման համար 2012 թվականի հունվարի 1-ից սահմանվել է պետական տուրք</w:t>
            </w:r>
            <w:r w:rsidR="00710A39">
              <w:rPr>
                <w:rFonts w:ascii="GHEA Grapalat" w:hAnsi="GHEA Grapalat" w:cs="Sylfaen"/>
                <w:color w:val="000000"/>
                <w:lang w:val="hy-AM"/>
              </w:rPr>
              <w:t xml:space="preserve"> հետևյալ դրույքաչափերով՝ վարորդի քարտ՝ 50000 դրամ, կազմակերպության քարտ՝ 70000 դրամ, արհեստանոցի քարտ՝ 70000 դրամ,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որը հնարավորություն կտա որոշ չափով վերականգնել թվային տախոգրաֆի համակարգի ներդրման և պահպանման համար Հայաստանի Հանրապետության պետական բյուջեից տրամադրվող գումարները: </w:t>
            </w:r>
          </w:p>
        </w:tc>
      </w:tr>
      <w:tr w:rsidR="003D54AC" w:rsidRPr="00B62E9D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3573D79B" w:rsidR="003D54AC" w:rsidRPr="0046010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46010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25C69996" w:rsidR="003D54AC" w:rsidRPr="00A85414" w:rsidRDefault="00D0223C" w:rsidP="00A8541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lang w:val="fr-FR"/>
              </w:rPr>
              <w:t>Հայաստանի Հանրապետության կառավարության 2011 թվականի մարտի 10-ի N 231-Ն որոշման համաձայն թվային տախոգրաֆի քարտերը տրվու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մ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են ՀՀ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տարածքային կառավարման և ենթակառուցվածքների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նախարարության կողմից:</w:t>
            </w:r>
          </w:p>
        </w:tc>
      </w:tr>
      <w:tr w:rsidR="003D54A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B62E9D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A8AC" w14:textId="5B1A6ED0" w:rsidR="003D54AC" w:rsidRPr="00B62E9D" w:rsidRDefault="00205961" w:rsidP="00B62E9D">
            <w:pPr>
              <w:spacing w:after="0" w:line="240" w:lineRule="auto"/>
              <w:contextualSpacing/>
              <w:rPr>
                <w:rFonts w:ascii="GHEA Grapalat" w:hAnsi="GHEA Grapalat" w:cs="Sylfaen"/>
                <w:color w:val="000000"/>
                <w:lang w:val="fr-FR"/>
              </w:rPr>
            </w:pPr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Համակարգի թիրախային շահառուներն են 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>ՀՀ տարածքային կառավարման և ենթակառուցվածքների նախարարությունը, ՀՀ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աղաքաշինության, տեխնիկական և հրդեհային անվտանգության տեսչական մարմինը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="00D0223C"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միջպետական </w:t>
            </w:r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>բեռնափոխադրումներ և ուղևորափոխադրումներ իրականացնող կազմակերպությունները և վարորդները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>, արհեստանոցները</w:t>
            </w:r>
            <w:r w:rsidR="00910F57" w:rsidRPr="00B62E9D">
              <w:rPr>
                <w:rFonts w:ascii="GHEA Grapalat" w:hAnsi="GHEA Grapalat" w:cs="Sylfaen"/>
                <w:color w:val="000000"/>
                <w:lang w:val="fr-FR"/>
              </w:rPr>
              <w:t>։</w:t>
            </w:r>
          </w:p>
          <w:p w14:paraId="74E4A1CB" w14:textId="289526E7" w:rsidR="00910F57" w:rsidRPr="00B62E9D" w:rsidRDefault="00910F57" w:rsidP="00B62E9D">
            <w:pPr>
              <w:spacing w:after="0" w:line="240" w:lineRule="auto"/>
              <w:contextualSpacing/>
              <w:rPr>
                <w:rFonts w:ascii="GHEA Grapalat" w:hAnsi="GHEA Grapalat" w:cs="Sylfaen"/>
                <w:color w:val="000000"/>
                <w:lang w:val="fr-FR"/>
              </w:rPr>
            </w:pPr>
            <w:r w:rsidRPr="00B62E9D">
              <w:rPr>
                <w:rFonts w:ascii="GHEA Grapalat" w:hAnsi="GHEA Grapalat" w:cs="Sylfaen"/>
                <w:color w:val="000000"/>
                <w:lang w:val="fr-FR"/>
              </w:rPr>
              <w:t>Համակարգը ապահովում է թվային տախոգրաֆի քարտերի արտադրությունը և դրանց ծրագրային սպասարկումը</w:t>
            </w:r>
          </w:p>
        </w:tc>
      </w:tr>
      <w:tr w:rsidR="003D54A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Ծրագրի միջոցառման հիմնական շահառուները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և փոխհատուցման շրջանակը</w:t>
            </w:r>
          </w:p>
        </w:tc>
      </w:tr>
      <w:tr w:rsidR="00910F57" w:rsidRPr="00B62E9D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55F9C2E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1049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327925E9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72A797EA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Թվային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տախոգրաֆի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համակարգի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անընդհատ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ու անխափան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ապահովում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և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ախոգրաֆի 4 տեսակի քարտերի պատրաստում:</w:t>
            </w:r>
            <w:r>
              <w:rPr>
                <w:rFonts w:ascii="Sylfaen" w:hAnsi="Sylfaen"/>
                <w:color w:val="000000"/>
                <w:lang w:val="fr-FR"/>
              </w:rPr>
              <w:t> </w:t>
            </w:r>
            <w:r>
              <w:rPr>
                <w:rFonts w:ascii="GHEA Grapalat" w:hAnsi="GHEA Grapalat"/>
                <w:lang w:val="it-IT"/>
              </w:rPr>
              <w:t xml:space="preserve">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73D936E8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10F57">
              <w:rPr>
                <w:rFonts w:ascii="GHEA Grapalat" w:hAnsi="GHEA Grapalat" w:cs="Arial Armenian"/>
                <w:bCs/>
                <w:lang w:val="hy-AM"/>
              </w:rPr>
              <w:t>Համակարգ</w:t>
            </w:r>
            <w:r>
              <w:rPr>
                <w:rFonts w:ascii="GHEA Grapalat" w:hAnsi="GHEA Grapalat" w:cs="Arial Armenian"/>
                <w:bCs/>
                <w:lang w:val="hy-AM"/>
              </w:rPr>
              <w:t xml:space="preserve">ի թիրախային շահառուներն են 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>ՀՀ տարածքային կառավարման և ենթակառուցվածքների նախարարությունը, ՀՀ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աղաքաշինության, տեխնիկական և հրդեհային անվտանգության տեսչական մարմինը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,</w:t>
            </w:r>
            <w:r w:rsidR="00B62E9D">
              <w:rPr>
                <w:rFonts w:ascii="GHEA Grapalat" w:hAnsi="GHEA Grapalat" w:cs="Arial Armenian"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bCs/>
                <w:lang w:val="hy-AM"/>
              </w:rPr>
              <w:t>միջպետական բեռնափոխադրումներ և ուղևորափոխադրումներ իրականացնող կազմակերպությունները և վարորդները</w:t>
            </w:r>
            <w:r w:rsidR="00B62E9D">
              <w:rPr>
                <w:rFonts w:ascii="GHEA Grapalat" w:hAnsi="GHEA Grapalat" w:cs="Arial Armenian"/>
                <w:bCs/>
                <w:lang w:val="hy-AM"/>
              </w:rPr>
              <w:t>, արհեստանոցները</w:t>
            </w:r>
          </w:p>
        </w:tc>
      </w:tr>
      <w:tr w:rsidR="00910F57" w:rsidRPr="00B62E9D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10F57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910F57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910F57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910F57" w:rsidRPr="003D54AC" w:rsidRDefault="00910F57" w:rsidP="00910F57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910F57" w:rsidRPr="00B62E9D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36E55FD5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lastRenderedPageBreak/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18E97DBF" w:rsidR="00910F57" w:rsidRPr="00EC69B8" w:rsidRDefault="00B62E9D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Տարածքային կառավարման և ենթակառուցվածքների նախարարությունը ընդունում է դիմումները և ծրագրային համակարգի միջոցով տվյալները փոխանցում համակարգը սպասարկող կազմակերպությանը՝ տախոգրաֆի քարտերը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պատրաստելու և սպասարկելու համար։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B7B4" w14:textId="77777777" w:rsidR="00910F57" w:rsidRDefault="00910F57" w:rsidP="00910F57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Միջազգային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ավտոճանապարհային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փոխադրումներ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կատարող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տրանսպորտային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միջոցների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անձնակազմի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աշխատանքի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1970 թվականի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 xml:space="preserve">հուլիսի 1-ին Ժնևում կատարված  համաձայնագիր, </w:t>
            </w:r>
          </w:p>
          <w:p w14:paraId="172046D1" w14:textId="77777777" w:rsidR="00910F57" w:rsidRDefault="00910F57" w:rsidP="00910F57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Ավտոմոբիլային տրանսպորտի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օրենք, </w:t>
            </w:r>
          </w:p>
          <w:p w14:paraId="74E4A1F4" w14:textId="4C496BE9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կառավարության 2011 թվականի մարտի 10-ի N 231-Ն որոշում</w:t>
            </w:r>
          </w:p>
        </w:tc>
      </w:tr>
      <w:tr w:rsidR="00910F57" w:rsidRPr="00B62E9D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B62E9D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910F57" w:rsidRPr="00097A4B" w:rsidRDefault="00910F57" w:rsidP="00910F57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910F57" w:rsidRPr="00B62E9D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910F57" w:rsidRPr="00097A4B" w:rsidRDefault="00910F57" w:rsidP="00910F57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910F57" w:rsidRPr="00B62E9D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B62E9D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B62E9D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910F57" w:rsidRPr="00097A4B" w:rsidRDefault="00910F57" w:rsidP="00910F57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910F57" w:rsidRPr="00B62E9D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B62E9D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910F57" w:rsidRPr="00B62E9D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03DB5622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 իրականացնող գնման գործընթացի արդյունքում ընտրված կազմակերպություն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28BA2263" w:rsidR="003D54AC" w:rsidRPr="0097475C" w:rsidRDefault="009747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Թվային տախոգրաֆի քարտեր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51EF22DC" w:rsidR="003D54AC" w:rsidRPr="0097475C" w:rsidRDefault="009747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97475C" w:rsidRPr="00097A4B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73EA6062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1049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51B65A4E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lastRenderedPageBreak/>
              <w:t>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528588FF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Համակարգի գործունեության և անխափան աշխատանքի ապահովում, տախոգրաֆի քարտերի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արտադրություն և տրամադրում միջպետական բեռնափոխադրող կազմակերպություններին, վարորդներին և արհեստանոցներին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25C79271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097A4B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 ինքնուրույն չափորոշիչի համար լրացվում է առանձին աղյուսակ)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3D54AC" w14:paraId="74E4A284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3D54AC" w:rsidRPr="003D54AC" w14:paraId="74E4A287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3D54AC" w:rsidRPr="003D54AC" w14:paraId="74E4A28A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3D54AC" w:rsidRPr="003D54AC" w14:paraId="74E4A28D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38564C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21"/>
        <w:gridCol w:w="1447"/>
        <w:gridCol w:w="1327"/>
        <w:gridCol w:w="962"/>
        <w:gridCol w:w="979"/>
        <w:gridCol w:w="49"/>
        <w:gridCol w:w="889"/>
        <w:gridCol w:w="1043"/>
        <w:gridCol w:w="1080"/>
      </w:tblGrid>
      <w:tr w:rsidR="003D54AC" w:rsidRPr="003D54AC" w14:paraId="74E4A29C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4062D" w:rsidRPr="00B62E9D" w14:paraId="74E4A29E" w14:textId="77777777" w:rsidTr="007450D6">
        <w:trPr>
          <w:trHeight w:val="986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5C6" w14:textId="77777777" w:rsidR="0024062D" w:rsidRPr="00B62E9D" w:rsidRDefault="0024062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2011 թվականից հանրապետությունում ներդրվել է հսկիչ սարքերի (թվային տախոգրաֆի) համակարգը, որի միջոցով իրականացվում է թվային տախոգրաֆի քարտերի արտադրությունը և սպասարկումը, ինչպես նաև դրանց տրամադրումը վարորդների, արհեստանոցներին ու կազմակերպություններին։ </w:t>
            </w:r>
          </w:p>
          <w:p w14:paraId="74E4A29D" w14:textId="78AAA067" w:rsidR="00B62E9D" w:rsidRPr="004B780F" w:rsidRDefault="00B62E9D" w:rsidP="00B62E9D">
            <w:pPr>
              <w:spacing w:line="240" w:lineRule="auto"/>
              <w:ind w:firstLine="720"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«Միջազգային ավտոճանապարհային փոխադրումներ կատարող տրանսպորտային միջոցների անձնակազմի աշխատանքի մասին» եվրոպական համաձայնագրի պահանջներին համապատասխան 2011 թվականից Հայաստանի Հանրապետությունում ներդրվել է թվային տախոգրաֆի համակարգը։ Տախոգրաֆի քարտերի արտադրության և տախոգրաֆի Տախոնետ համակարգի սպասարկման գործընթացն իրականացնում էր Արժեթղթերի արտադրության լեհական ֆաբրիկա «ՊՎՊՎ» ԲԸ-ն։ Ընկերության հետ կնքված պայմանագրային պարտավորությունների ավարտից հետո ՀՀ տարածքային կառավարման և ենթակառուցվածքների նախարարությունը  թվային տախոգրաֆի քարտերի պատրաստման ծառայությունների ձեռքբերման նպատակով 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1-2023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թվականին կազմակերպ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ել է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միջազգային մրցույթ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ներ, որոնք չեն կայացել։ 2024 թվականի բյուջեով տախոգրաֆի համակարգի սպասարկման գործընթացի համար նախատեսված է 20 մլն դրամ։ Սակայն նախարարությունը հարցումներ է անցկացրել արտասահմանմյան մի քանի ընկերությունների հետ, որոնք իրականացնում են տարբեր պետությունների համար տախոգրաֆի համակարգի սպասարկոււմ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, որի արդյունքում նախատեսվում է 2025 թվականի և հետագա տարիների բյուջետային հատկացումներն ավելացնել։ Ֆինանսավորման չափի ավելացումը կապված է Տախոնետ համակարգի սպասարկման ծառայության արժեքի </w:t>
            </w:r>
            <w:r w:rsidR="00D45CD9"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որը 5 տարվա համար կազմում է 160000 եվրո-ին համարժեք դրամ), տարեկան մոտ 500 քարտերի արժեքի </w:t>
            </w:r>
            <w:r w:rsidR="00D45CD9"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 քարտի արժեքը մոտ 25 եվրո-ին համարժեք դրամ) և 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քարտերի փոխադրման և մաքսային գործարքների ընդհանուր արժեքի </w:t>
            </w:r>
            <w:r w:rsidR="004B780F" w:rsidRP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մոտ 115000 եվրոյին համարժեք դրամ) մոտ 342500 եվրո-ին համարժեք դրամի գումարային արժեքը, որը ներկայիս փոխարժեքով 5 տարվա համար կազմում է 153 մլն դրամ, իսկ տարեկան մոտ 31 մլն դրամ։</w:t>
            </w:r>
          </w:p>
        </w:tc>
      </w:tr>
      <w:tr w:rsidR="003D54AC" w:rsidRPr="003D54AC" w14:paraId="74E4A2A0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7450D6">
        <w:trPr>
          <w:trHeight w:val="28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24062D" w:rsidRPr="003D54AC" w14:paraId="74E4A2A8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0E1CD1D" w:rsidR="0024062D" w:rsidRPr="0024062D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lang w:val="hy-AM"/>
              </w:rPr>
              <w:t>Հ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սկիչ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 xml:space="preserve"> 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 xml:space="preserve">սարքերի 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>(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թվային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 xml:space="preserve"> տ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ախոգրաֆի</w:t>
            </w:r>
            <w:r w:rsidRPr="0024062D">
              <w:rPr>
                <w:rFonts w:ascii="GHEA Grapalat" w:hAnsi="GHEA Grapalat"/>
                <w:noProof/>
                <w:lang w:val="hy-AM"/>
              </w:rPr>
              <w:t>)</w:t>
            </w:r>
            <w:r w:rsidRPr="0024062D">
              <w:rPr>
                <w:rFonts w:ascii="GHEA Grapalat" w:hAnsi="GHEA Grapalat"/>
                <w:noProof/>
                <w:lang w:val="pt-BR"/>
              </w:rPr>
              <w:t xml:space="preserve"> 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համակարգ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ի գործունեության և անխափան աշխատանքի ապահովում, տախոգրաֆի քարտերի արտադրություն և տրամադրում միջպետական բեռնափոխադրող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կազմակերպություններին, վարորդներին և արհեստանոցներին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35005E3E" w:rsidR="0024062D" w:rsidRPr="007450D6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Թվային տախոգրաֆի քարտերի պատրաստում, սպասարկում, միջպետական փոխադրումներ իրականացնող վարորդների աշխատանքի և հանգստի ռեժիմի վերահսկողություն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7CF6BDCB" w:rsidR="0024062D" w:rsidRPr="007450D6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շարունակելի</w:t>
            </w:r>
          </w:p>
        </w:tc>
      </w:tr>
      <w:tr w:rsidR="0024062D" w:rsidRPr="003D54AC" w14:paraId="74E4A2AC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4062D" w:rsidRPr="003D54AC" w14:paraId="74E4A2B0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4062D" w:rsidRPr="003D54AC" w14:paraId="74E4A2B2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B62E9D" w:rsidRPr="003D54AC" w14:paraId="74E4A2BB" w14:textId="77777777" w:rsidTr="00B62E9D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4118DB66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7" w14:textId="71A5B4E3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8" w14:textId="7D196AB0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9" w14:textId="531ED673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A" w14:textId="3114B71F" w:rsidR="00B62E9D" w:rsidRPr="00C53E98" w:rsidRDefault="004B780F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2027</w:t>
            </w:r>
          </w:p>
        </w:tc>
      </w:tr>
      <w:tr w:rsidR="00B62E9D" w:rsidRPr="003D54AC" w14:paraId="74E4A2C4" w14:textId="77777777" w:rsidTr="007450D6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6115E4FF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20 000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7989C100" w:rsidR="00B62E9D" w:rsidRPr="007450D6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7959C954" w:rsidR="00B62E9D" w:rsidRPr="007450D6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56F21D69" w:rsidR="00B62E9D" w:rsidRPr="007450D6" w:rsidRDefault="004B780F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31 000</w:t>
            </w:r>
          </w:p>
        </w:tc>
      </w:tr>
      <w:tr w:rsidR="00B62E9D" w:rsidRPr="003D54AC" w14:paraId="74E4A2CD" w14:textId="77777777" w:rsidTr="007450D6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D6" w14:textId="77777777" w:rsidTr="007450D6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DF" w14:textId="77777777" w:rsidTr="007450D6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E8" w14:textId="77777777" w:rsidTr="007450D6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F1" w14:textId="77777777" w:rsidTr="007450D6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B62E9D" w:rsidRPr="003D54AC" w:rsidRDefault="00B62E9D" w:rsidP="00B62E9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FA" w14:textId="77777777" w:rsidTr="007450D6">
        <w:trPr>
          <w:trHeight w:val="184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62E9D" w:rsidRPr="003D54AC" w14:paraId="74E4A2FC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B62E9D" w:rsidRPr="003D54AC" w14:paraId="74E4A304" w14:textId="77777777" w:rsidTr="007450D6">
        <w:trPr>
          <w:trHeight w:val="3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B62E9D" w:rsidRPr="003D54AC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B62E9D" w:rsidRPr="003D54AC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1339D1CF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2F5B0064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701147B3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193CF639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3C75B0A6" w:rsidR="00B62E9D" w:rsidRPr="00B62E9D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B62E9D" w:rsidRPr="003D54AC" w14:paraId="74E4A30C" w14:textId="77777777" w:rsidTr="007450D6">
        <w:trPr>
          <w:trHeight w:val="2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21DDF80F" w:rsidR="00B62E9D" w:rsidRPr="007450D6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1049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52BE9836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20 000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59C9F47E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52720111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5D3A4B6F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</w:tr>
      <w:tr w:rsidR="00B62E9D" w:rsidRPr="003D54AC" w14:paraId="74E4A314" w14:textId="77777777" w:rsidTr="007450D6">
        <w:trPr>
          <w:trHeight w:val="318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1C" w14:textId="77777777" w:rsidTr="007450D6">
        <w:trPr>
          <w:trHeight w:val="30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23" w14:textId="77777777" w:rsidTr="007450D6">
        <w:trPr>
          <w:trHeight w:val="285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25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B62E9D" w:rsidRPr="003D54AC" w14:paraId="74E4A32C" w14:textId="77777777" w:rsidTr="007450D6">
        <w:trPr>
          <w:trHeight w:val="18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B62E9D" w:rsidRPr="003D54AC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51666083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654829D2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76B40010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5017B975" w:rsidR="00B62E9D" w:rsidRPr="00C53E98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671E0308" w:rsidR="00B62E9D" w:rsidRPr="00B62E9D" w:rsidRDefault="00B62E9D" w:rsidP="00B62E9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B62E9D" w:rsidRPr="003D54AC" w14:paraId="74E4A333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3A" w14:textId="77777777" w:rsidTr="007450D6">
        <w:trPr>
          <w:trHeight w:val="16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1354F62E" w:rsidR="00B62E9D" w:rsidRPr="00EC69B8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20 000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0A825BD3" w:rsidR="00B62E9D" w:rsidRPr="00EC69B8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1083ED9" w:rsidR="00B62E9D" w:rsidRPr="00EC69B8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509D4C28" w:rsidR="00B62E9D" w:rsidRPr="00EC69B8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000</w:t>
            </w:r>
          </w:p>
        </w:tc>
      </w:tr>
      <w:tr w:rsidR="00B62E9D" w:rsidRPr="003D54AC" w14:paraId="74E4A341" w14:textId="77777777" w:rsidTr="007450D6">
        <w:trPr>
          <w:trHeight w:val="184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48" w14:textId="77777777" w:rsidTr="007450D6">
        <w:trPr>
          <w:trHeight w:val="20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4F" w14:textId="77777777" w:rsidTr="007450D6">
        <w:trPr>
          <w:trHeight w:val="2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56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5D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64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62E9D" w:rsidRPr="003D54AC" w14:paraId="74E4A366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B62E9D" w:rsidRPr="003D54AC" w:rsidRDefault="00B62E9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B62E9D" w:rsidRPr="003D54AC" w14:paraId="74E4A368" w14:textId="77777777" w:rsidTr="007450D6">
        <w:trPr>
          <w:trHeight w:val="137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B62E9D" w:rsidRPr="003D54AC" w:rsidRDefault="00B62E9D" w:rsidP="00B62E9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«Գրանցման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բյուջետային ծրագրի լրիվ անվանումը</w:t>
            </w:r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բյուջետային ծրագրի քառանիշ դասիչը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երկրորդ գլխի անվանումն է: Լրացվում են հաջորդող 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3D54AC" w:rsidRPr="003D54AC" w14:paraId="74E4A3A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«2.6.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3D54AC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«2.7.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3D54AC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3D54AC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3D54AC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1A9B" w14:textId="77777777" w:rsidR="005953B6" w:rsidRDefault="005953B6" w:rsidP="00F06C50">
      <w:pPr>
        <w:spacing w:after="0" w:line="240" w:lineRule="auto"/>
      </w:pPr>
      <w:r>
        <w:separator/>
      </w:r>
    </w:p>
  </w:endnote>
  <w:endnote w:type="continuationSeparator" w:id="0">
    <w:p w14:paraId="59B5F33B" w14:textId="77777777" w:rsidR="005953B6" w:rsidRDefault="005953B6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26000395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62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F15B" w14:textId="77777777" w:rsidR="005953B6" w:rsidRDefault="005953B6" w:rsidP="00F06C50">
      <w:pPr>
        <w:spacing w:after="0" w:line="240" w:lineRule="auto"/>
      </w:pPr>
      <w:r>
        <w:separator/>
      </w:r>
    </w:p>
  </w:footnote>
  <w:footnote w:type="continuationSeparator" w:id="0">
    <w:p w14:paraId="41BBCE6E" w14:textId="77777777" w:rsidR="005953B6" w:rsidRDefault="005953B6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0041" w14:textId="77777777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4278A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97A4B"/>
    <w:rsid w:val="00130782"/>
    <w:rsid w:val="00205961"/>
    <w:rsid w:val="0024062D"/>
    <w:rsid w:val="00291E3E"/>
    <w:rsid w:val="002B10AC"/>
    <w:rsid w:val="00325267"/>
    <w:rsid w:val="003D54AC"/>
    <w:rsid w:val="00460100"/>
    <w:rsid w:val="00491DBA"/>
    <w:rsid w:val="004B780F"/>
    <w:rsid w:val="00574CBE"/>
    <w:rsid w:val="005953B6"/>
    <w:rsid w:val="00710A39"/>
    <w:rsid w:val="00723593"/>
    <w:rsid w:val="007450D6"/>
    <w:rsid w:val="007B4A4C"/>
    <w:rsid w:val="007F5B81"/>
    <w:rsid w:val="008277DD"/>
    <w:rsid w:val="00910F57"/>
    <w:rsid w:val="0097475C"/>
    <w:rsid w:val="00A85414"/>
    <w:rsid w:val="00AE17AE"/>
    <w:rsid w:val="00B101B2"/>
    <w:rsid w:val="00B62E9D"/>
    <w:rsid w:val="00C53E98"/>
    <w:rsid w:val="00C8151D"/>
    <w:rsid w:val="00CA3EDB"/>
    <w:rsid w:val="00CE4A13"/>
    <w:rsid w:val="00D0223C"/>
    <w:rsid w:val="00D45CD9"/>
    <w:rsid w:val="00D81DC6"/>
    <w:rsid w:val="00EA73D4"/>
    <w:rsid w:val="00EC69B8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8BF989A9-3257-4BBA-B297-46553A28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C81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13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Ruzanna Ayvazyan</cp:lastModifiedBy>
  <cp:revision>18</cp:revision>
  <cp:lastPrinted>2023-03-06T12:58:00Z</cp:lastPrinted>
  <dcterms:created xsi:type="dcterms:W3CDTF">2023-03-06T08:24:00Z</dcterms:created>
  <dcterms:modified xsi:type="dcterms:W3CDTF">2024-02-19T12:57:00Z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