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8885" w14:textId="77777777" w:rsidR="00847146" w:rsidRPr="00847146" w:rsidRDefault="00847146" w:rsidP="00847146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6"/>
          <w:szCs w:val="16"/>
        </w:rPr>
      </w:pPr>
      <w:bookmarkStart w:id="0" w:name="_GoBack"/>
      <w:bookmarkEnd w:id="0"/>
      <w:r w:rsidRPr="00847146">
        <w:rPr>
          <w:rFonts w:ascii="Calibri" w:hAnsi="Calibri" w:cs="Calibri"/>
          <w:color w:val="000000"/>
          <w:sz w:val="16"/>
          <w:szCs w:val="16"/>
        </w:rPr>
        <w:t> </w:t>
      </w:r>
      <w:proofErr w:type="spellStart"/>
      <w:r w:rsidRPr="00847146">
        <w:rPr>
          <w:rStyle w:val="Strong"/>
          <w:rFonts w:ascii="GHEA Grapalat" w:hAnsi="GHEA Grapalat"/>
          <w:color w:val="000000"/>
          <w:sz w:val="16"/>
          <w:szCs w:val="16"/>
        </w:rPr>
        <w:t>Հավելված</w:t>
      </w:r>
      <w:proofErr w:type="spellEnd"/>
      <w:r w:rsidRPr="00847146">
        <w:rPr>
          <w:rStyle w:val="Strong"/>
          <w:rFonts w:ascii="GHEA Grapalat" w:hAnsi="GHEA Grapalat"/>
          <w:color w:val="000000"/>
          <w:sz w:val="16"/>
          <w:szCs w:val="16"/>
        </w:rPr>
        <w:t xml:space="preserve"> N 2</w:t>
      </w:r>
    </w:p>
    <w:p w14:paraId="057B3C73" w14:textId="77777777" w:rsidR="00847146" w:rsidRPr="00847146" w:rsidRDefault="00847146" w:rsidP="00847146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6"/>
          <w:szCs w:val="16"/>
        </w:rPr>
      </w:pPr>
      <w:r w:rsidRPr="00847146">
        <w:rPr>
          <w:rStyle w:val="Strong"/>
          <w:rFonts w:ascii="GHEA Grapalat" w:hAnsi="GHEA Grapalat"/>
          <w:color w:val="000000"/>
          <w:sz w:val="16"/>
          <w:szCs w:val="16"/>
        </w:rPr>
        <w:t xml:space="preserve">ՀՀ </w:t>
      </w:r>
      <w:proofErr w:type="spellStart"/>
      <w:r w:rsidRPr="00847146">
        <w:rPr>
          <w:rStyle w:val="Strong"/>
          <w:rFonts w:ascii="GHEA Grapalat" w:hAnsi="GHEA Grapalat"/>
          <w:color w:val="000000"/>
          <w:sz w:val="16"/>
          <w:szCs w:val="16"/>
        </w:rPr>
        <w:t>կառավարության</w:t>
      </w:r>
      <w:proofErr w:type="spellEnd"/>
      <w:r w:rsidRPr="00847146">
        <w:rPr>
          <w:rStyle w:val="Strong"/>
          <w:rFonts w:ascii="GHEA Grapalat" w:hAnsi="GHEA Grapalat"/>
          <w:color w:val="000000"/>
          <w:sz w:val="16"/>
          <w:szCs w:val="16"/>
        </w:rPr>
        <w:t xml:space="preserve"> 2006 </w:t>
      </w:r>
      <w:proofErr w:type="spellStart"/>
      <w:r w:rsidRPr="00847146">
        <w:rPr>
          <w:rStyle w:val="Strong"/>
          <w:rFonts w:ascii="GHEA Grapalat" w:hAnsi="GHEA Grapalat"/>
          <w:color w:val="000000"/>
          <w:sz w:val="16"/>
          <w:szCs w:val="16"/>
        </w:rPr>
        <w:t>թվականի</w:t>
      </w:r>
      <w:proofErr w:type="spellEnd"/>
    </w:p>
    <w:p w14:paraId="63CAAAFE" w14:textId="77777777" w:rsidR="00847146" w:rsidRPr="00847146" w:rsidRDefault="00847146" w:rsidP="00847146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47146">
        <w:rPr>
          <w:rStyle w:val="Strong"/>
          <w:rFonts w:ascii="GHEA Grapalat" w:hAnsi="GHEA Grapalat"/>
          <w:color w:val="000000"/>
          <w:sz w:val="16"/>
          <w:szCs w:val="16"/>
        </w:rPr>
        <w:t>նոյեմբերի</w:t>
      </w:r>
      <w:proofErr w:type="spellEnd"/>
      <w:r w:rsidRPr="00847146">
        <w:rPr>
          <w:rStyle w:val="Strong"/>
          <w:rFonts w:ascii="GHEA Grapalat" w:hAnsi="GHEA Grapalat"/>
          <w:color w:val="000000"/>
          <w:sz w:val="16"/>
          <w:szCs w:val="16"/>
        </w:rPr>
        <w:t xml:space="preserve"> 16-ի N 1708-Ն </w:t>
      </w:r>
      <w:proofErr w:type="spellStart"/>
      <w:r w:rsidRPr="00847146">
        <w:rPr>
          <w:rStyle w:val="Strong"/>
          <w:rFonts w:ascii="GHEA Grapalat" w:hAnsi="GHEA Grapalat"/>
          <w:color w:val="000000"/>
          <w:sz w:val="16"/>
          <w:szCs w:val="16"/>
        </w:rPr>
        <w:t>որոշման</w:t>
      </w:r>
      <w:proofErr w:type="spellEnd"/>
    </w:p>
    <w:p w14:paraId="747C2872" w14:textId="710EBA59" w:rsidR="00847146" w:rsidRPr="00847146" w:rsidRDefault="00847146" w:rsidP="00847146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color w:val="000000"/>
          <w:sz w:val="22"/>
          <w:lang w:val="en-US"/>
        </w:rPr>
      </w:pPr>
    </w:p>
    <w:p w14:paraId="5A289B11" w14:textId="77777777" w:rsidR="00847146" w:rsidRPr="00847146" w:rsidRDefault="00847146" w:rsidP="00847146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Կ Ա Ր Գ</w:t>
      </w:r>
    </w:p>
    <w:p w14:paraId="62D1CC8A" w14:textId="77777777" w:rsidR="00847146" w:rsidRPr="00847146" w:rsidRDefault="00847146" w:rsidP="00847146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Calibri" w:eastAsia="Times New Roman" w:hAnsi="Calibri" w:cs="Calibri"/>
          <w:color w:val="000000"/>
          <w:sz w:val="22"/>
          <w:lang w:val="en-US"/>
        </w:rPr>
        <w:t> </w:t>
      </w:r>
    </w:p>
    <w:p w14:paraId="25A0C385" w14:textId="77777777" w:rsidR="00847146" w:rsidRPr="00847146" w:rsidRDefault="00847146" w:rsidP="00847146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ՀԱՅԱՍՏԱՆԻ ՀԱՆՐԱՊԵՏՈՒԹՅԱՆ ՊԵՏԱԿԱՆ ՏԱՐԵԿԱՆ ԲՅՈՒՋԵՆԵՐՈՎ ՆԱԽԱՏԵՍՎԱԾ ՍՈՒԲՎԵՆՑԻԱՆԵՐԻՑ ԲԱՑԻ ՀԱՅԱՍՏԱՆԻ ՀԱՆՐԱՊԵՏՈՒԹՅԱՆ ՀԱՄԱՅՆՔՆԵՐԻ ՏՆՏԵՍԱԿԱՆ ԵՎ ՍՈՑԻԱԼԱԿԱՆ ԵՆԹԱԿԱՌՈՒՑՎԱԾՔՆԵՐԻ ԶԱՐԳԱՑՄԱՆՆ ՈՒՂՂՎԱԾ ՍՈՒԲՎԵՆՑԻԱՅԻ ՀԱՅՏԻ ՄՇԱԿՄԱՆ, ՆԵՐԿԱՅԱՑՄԱՆ, ՔՆՆԱՐԿՄԱՆ ԵՎ ՀԱՍՏԱՏՄԱՆ</w:t>
      </w:r>
    </w:p>
    <w:p w14:paraId="237982AF" w14:textId="77777777" w:rsidR="00847146" w:rsidRPr="00847146" w:rsidRDefault="00847146" w:rsidP="00847146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Calibri" w:eastAsia="Times New Roman" w:hAnsi="Calibri" w:cs="Calibri"/>
          <w:color w:val="000000"/>
          <w:sz w:val="22"/>
          <w:lang w:val="en-US"/>
        </w:rPr>
        <w:t> </w:t>
      </w:r>
    </w:p>
    <w:p w14:paraId="0797445A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1.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կարգավորվում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պետական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տարեկան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բյուջեներով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նախատեսված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սուբվենցիաներից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բացի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տնտեսական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սոցիալական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ենթակառուցվածքների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զարգացմանն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ուղղված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մշակման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դրանց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քննարկման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հաստատման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հետ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կապված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հարաբերությունները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:</w:t>
      </w:r>
    </w:p>
    <w:p w14:paraId="5125DCD4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2.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տնտեսական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սոցիալական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ենթակառուցվածքների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զարգացմանն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ուղղված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տրամադրման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նպատակով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դիտարկվում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որոնց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իրականացումը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կնպաստի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սեփականության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իրավունքով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պատկանող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հիմնական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միջոցների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հիմնական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ֆոնդերի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ստեղծմանը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ձեռքբերմանը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դրանց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արժեքի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ավելացմանը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ինչպես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որպես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բացառություն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՝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բազմաբնակարան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շենքերի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ընդհանուր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բաժնային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սեփականության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գույքի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նորոգման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:</w:t>
      </w:r>
    </w:p>
    <w:p w14:paraId="34958A55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3.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պետք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է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բխեն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«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Տեղական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ինքնակառավարման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»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օրենքի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12-րդ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հոդվածով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պարտադիր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խնդիրներից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ինչպես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5-ամյա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զարգացման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ծրագրերին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նպաստեն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դրանց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իրագործմանը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միջնաժամկետ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երկարաժամկետ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կտրվածքով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):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դիտարկվում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</w:p>
    <w:p w14:paraId="67E8A622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1)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50,0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մլն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ունեցող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՝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յուրաքանչյուր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ընթացիկ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ֆոնդային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3,0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մլն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իսկ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25,0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մլն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ունեցող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՝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յուրաքանչյուր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ընթացիկ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ֆոնդային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1,5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մլն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.</w:t>
      </w:r>
    </w:p>
    <w:p w14:paraId="633A5C96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2) 50,0-ից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500,0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մլն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ունեցող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՝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յուրաքանչյուր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ընթացիկ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ֆոնդային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5,0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մլն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.</w:t>
      </w:r>
    </w:p>
    <w:p w14:paraId="50FED875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3) 500,0-ից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1,0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մլրդ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ունեցող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՝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առաջին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ընթացիկ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ֆոնդային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25,0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մլն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իսկ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հաջորդ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յուրաքանչյուր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ընթացիկ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ֆոնդային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15,0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մլն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բացառությամբ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քաղաքաշինական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փաստաթղթերի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մշակման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),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մեքենասարքավորումների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ձեռքբերման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ֆոնդային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10,0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մլն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բացառությամբ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քաղաքաշինական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փաստաթղթերի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մշակման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).</w:t>
      </w:r>
    </w:p>
    <w:p w14:paraId="5BC2E4E8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4) 1,0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մլրդ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ունեցող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՝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առաջին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ընթացիկ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ֆոնդային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50,0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մլն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իսկ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հաջորդ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յուրաքանչյուր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ընթացիկ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ֆոնդային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30,0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մլն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բացառությամբ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քաղաքաշինական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փաստաթղթերի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մշակման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),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մեքենասարքավորումների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ձեռքբերման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ֆոնդային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20,0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մլն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բացառությամբ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քաղաքաշինական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փաստաթղթերի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մշակման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)։</w:t>
      </w:r>
    </w:p>
    <w:p w14:paraId="1975468E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4.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տնտեսական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սոցիալական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ենթակառուցվածքների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զարգացմանն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ուղղված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սուբվենցիաներ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ստանալու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նպատակով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ղեկավարները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բացառությամբ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Երևանի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քաղաքապետի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նախատեսվող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օբյեկտի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նախագծման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տեխնիկական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բնութագրերը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կառավարության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2015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թվականի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19-ի N 596-Ն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որոշմամբ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NN 4-2, 4-3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ձևերին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lastRenderedPageBreak/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ըստ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անհրաժեշտության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ոլորտային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լրացուցիչ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պայմանների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ներառմամբ</w:t>
      </w:r>
      <w:proofErr w:type="spellEnd"/>
      <w:r w:rsidRPr="00847146">
        <w:rPr>
          <w:rFonts w:ascii="Calibri" w:eastAsia="Times New Roman" w:hAnsi="Calibri" w:cs="Calibri"/>
          <w:color w:val="000000"/>
          <w:sz w:val="22"/>
          <w:lang w:val="en-US"/>
        </w:rPr>
        <w:t> </w:t>
      </w:r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շինարարական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աշխատանքների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կատարման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կամ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ձեռքբերվող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մեքենասարքավորումների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տեխնիկական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բնութագրերի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(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այսուհետ</w:t>
      </w:r>
      <w:proofErr w:type="spellEnd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բնութագիր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),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ինչպես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նաև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գոյություն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ունեցող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շենքերի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շինությունների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վերակառուցման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նորոգման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վերականգնման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ուժեղացման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ծրագրերի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՝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շենքերի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շինությունների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տեխնիկական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վիճակի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եզրակացության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հետ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միասին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մարզպետարան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՝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նախորդող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մայիսի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5-ը: 2021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թվականին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տեխնիկական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բնութագրերի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հետ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միասին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մարզպետարան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՝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2021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թվականի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10-ը։</w:t>
      </w:r>
    </w:p>
    <w:p w14:paraId="4DD89792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5.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Մարզպետարանը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ստանալով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բնութագիրը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ուսումնասիրում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է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սոցիալ-տնտեսական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զարգացման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առարկություններ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չունենալու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է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տարածքային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կառավարման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ենթակառուցվածքների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նախարարություն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այսուհետ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՝ </w:t>
      </w:r>
      <w:proofErr w:type="spellStart"/>
      <w:proofErr w:type="gram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նախարարություն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)՝</w:t>
      </w:r>
      <w:proofErr w:type="gram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նախորդող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մայիսի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10-ը,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իսկ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2021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թվականին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՝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15-ը։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Առարկություններ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ունենալու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վերադարձնում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բնութագիրը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ղեկավարին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լրամշակման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ղեկավարի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կողմից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երեք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աշխատանքային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բայց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ոչ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ուշ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կետով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ժամկետը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լրամշակված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բնութագիրը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չներկայացնելու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համարվում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վերադարձված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4D67B09E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6.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Նախարարությունը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ստանալով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բնութագիրը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դրանք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ոլորտային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պետական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կառավարման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մարմինների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ինչպես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ոլորտային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մասնագիտացված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կառույցների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քննարկմանը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0792E744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7.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Ոլորտային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պետական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կառավարման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մարմինները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ստանալով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բնութագիրը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երեք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աշխատանքային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նախարարություն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դրանց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դիրքորոշումը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դիտողությունները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29BED0AE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8.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Նախարարությունը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բնութագրերի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կարծիքներն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ստանալուց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հետո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երկու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աշխատանքային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դրանք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մարզպետարաններ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185866CD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9.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Մարզպետարանները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մեկ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աշխատանքային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տեղեկացնում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126C73CF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9</w:t>
      </w:r>
      <w:r w:rsidRPr="00847146">
        <w:rPr>
          <w:rFonts w:ascii="Cambria Math" w:eastAsia="Times New Roman" w:hAnsi="Cambria Math" w:cs="Cambria Math"/>
          <w:color w:val="000000"/>
          <w:sz w:val="22"/>
          <w:lang w:val="pt-BR"/>
        </w:rPr>
        <w:t>․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1.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Համայնքները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ստացված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դիրքորոշումների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դիտողությունների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հիման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վրա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լրամշակում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մեքենասարքավորումների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գույքի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ձեռքբերման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շինարարական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օբյեկտների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նախագծման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տեխնիկական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բնութագրերը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երկու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աշխատանքային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մարզպետարան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4BC7C8A2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9</w:t>
      </w:r>
      <w:r w:rsidRPr="00847146">
        <w:rPr>
          <w:rFonts w:ascii="Cambria Math" w:eastAsia="Times New Roman" w:hAnsi="Cambria Math" w:cs="Cambria Math"/>
          <w:color w:val="000000"/>
          <w:sz w:val="22"/>
          <w:lang w:val="pt-BR"/>
        </w:rPr>
        <w:t>․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2.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Մարզպետարանը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ստուգելով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լրամշակված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հայտի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տեխնիկական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բնութագրերի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համապատասխանությունը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նախարարության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կողմից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ներկայացված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դիրքորոշումների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դիտողությունների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հետ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առաջարկում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համայնքներին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կազմակերպել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նախագծանախահաշվային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փաստաթղթերի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կազմման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աշխատանքների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գնման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մրցութային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գործընթաց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օրենսդրությամբ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304FA6D4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9</w:t>
      </w:r>
      <w:r w:rsidRPr="00847146">
        <w:rPr>
          <w:rFonts w:ascii="Cambria Math" w:eastAsia="Times New Roman" w:hAnsi="Cambria Math" w:cs="Cambria Math"/>
          <w:color w:val="000000"/>
          <w:sz w:val="22"/>
          <w:lang w:val="pt-BR"/>
        </w:rPr>
        <w:t>․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3.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Համայնքները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մեքենասարքավորումների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գույքի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ձեռքբերման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շինարարական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օբյեկտների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նախագծման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մրցույթի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հրապարակման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ստ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որագրված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արձանագրությունների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կնքված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պայմանագրերի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պատճենները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մարզպետարան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7ABFE0A3" w14:textId="38510768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</w:p>
    <w:p w14:paraId="2E19D450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10.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ստացված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դիրքորոշումների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դիտողությունների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հիման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վրա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կազմում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12-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կետի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դրույթների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համաձայն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ամբողջական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փաթեթները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մարզպետարաններ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նախորդող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նոյեմբերի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25-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ը։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2023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թվականի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ամբողջական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փաթեթները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մարզպետարաններ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2023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թվականի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6-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:</w:t>
      </w:r>
    </w:p>
    <w:p w14:paraId="0FE4C2B3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11.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Մարզպետարանները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փաթեթն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ստանալուց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հետո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ստուգելով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դրանց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համապատասխանությունը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դրույթներին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իրագործելիության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ֆինանսական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ցուցանիշների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առարկություններ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չունենալու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գրությամբ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փաթեթը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նախարարություն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նախորդող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դեկտեմբերի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5-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իսկ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2023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թվականի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lastRenderedPageBreak/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ամբողջական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փաթեթները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նախարարություն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2023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թվականի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15-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: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Առարկություններ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ունենալու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վերադարձնում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փաթեթը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ղեկավարին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լրամշակման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ղեկավարի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կողմից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հինգ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աշխատանքային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բայց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ոչ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ուշ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կետով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ժամկետը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լրամշակված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փաթեթը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չներկայացվելու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համարվում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վերադարձված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7504C633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12.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ամբողջական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փաթեթը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ներառում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է՝</w:t>
      </w:r>
    </w:p>
    <w:p w14:paraId="533497D3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1)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.</w:t>
      </w:r>
    </w:p>
    <w:p w14:paraId="23B158E3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2)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նպատակահարմարության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</w:p>
    <w:p w14:paraId="65ABD122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ավագանու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որոշումը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բացառությամբ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որտեղ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օրենսդրությամբ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ավագանի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ձևավորվել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,</w:t>
      </w:r>
    </w:p>
    <w:p w14:paraId="0B82E8EF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ղեկավարի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գրությունը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,</w:t>
      </w:r>
    </w:p>
    <w:p w14:paraId="382EDBA9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մարզպետի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ուղեկցող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գրությունը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.</w:t>
      </w:r>
    </w:p>
    <w:p w14:paraId="78ADBD21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3)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ծրագիրն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իրականացնելու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նպատակով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կազմակերպված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լսումների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արձանագրությունը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.</w:t>
      </w:r>
    </w:p>
    <w:p w14:paraId="3C3D99EB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4)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շինարարական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նախագծանախահաշվային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փաստաթղթերի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լրակազմ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փաթեթը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նախագծի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ելակետային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տվյալները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ճարտարապետահատակագծային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առաջադրանքը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տեխնիկական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պայմանները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տարածքի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ինժեներաերկրաբանական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հետազննության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գոյություն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ունեցող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շենքերի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շինությունների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փաստացի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տեխնիկական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վիճակի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հետազննության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եզրակացությունները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ինչպես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նախագծի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նախագծանախահաշվային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փաստաթղթերի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տրված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փորձաքննության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եզրակացությունը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շահագրգիռ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մարմինների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համաձայնեցումները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) «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Գնումների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»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օրենքի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15-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հոդվածի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6-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պահանջներին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կազմակերպված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մրցակցային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ընթացակարգի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արդյունքում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կնքված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պայմանագրերը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.</w:t>
      </w:r>
    </w:p>
    <w:p w14:paraId="22469AD3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5)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մեքենասարքավորումների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տեխնիկայի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գույքի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ձեռքբերման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</w:p>
    <w:p w14:paraId="09AE4AF3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դրանց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տեխնիկական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բնութագրերը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ֆինանսական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գնահատականները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առնվազն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երեք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կազմակերպությունների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կողմից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տրված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գնահարցումները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,</w:t>
      </w:r>
    </w:p>
    <w:p w14:paraId="7E7E0BE3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ղեկավարի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երաշխավորագիրը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`</w:t>
      </w:r>
    </w:p>
    <w:p w14:paraId="449B0BD6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-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դրանց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առնվազն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10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ժամկետով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շահագործման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սպասարկման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պահպանման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ծախսերը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հոգալու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ծախսերը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բյուջեներում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նախատեսելու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,</w:t>
      </w:r>
    </w:p>
    <w:p w14:paraId="0B21DAB3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-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մատուցված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ծառայությունները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բնակչությանը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հասանելի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լինելու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,</w:t>
      </w:r>
    </w:p>
    <w:p w14:paraId="2CCFC338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-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մատուցված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ծառայությունների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դիմաց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ստացված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եկամուտը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մուտքագրելու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սոցիալ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-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տնտեսական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զարգացմանն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ուղղելու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.</w:t>
      </w:r>
    </w:p>
    <w:p w14:paraId="39810C0B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5</w:t>
      </w:r>
      <w:r w:rsidRPr="00847146">
        <w:rPr>
          <w:rFonts w:ascii="Cambria Math" w:eastAsia="Times New Roman" w:hAnsi="Cambria Math" w:cs="Cambria Math"/>
          <w:color w:val="000000"/>
          <w:sz w:val="22"/>
          <w:lang w:val="pt-BR"/>
        </w:rPr>
        <w:t>․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1)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Բնակավայրի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փողոցների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կառուցման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նորոգման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՝</w:t>
      </w:r>
    </w:p>
    <w:p w14:paraId="26B7CD87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</w:t>
      </w:r>
      <w:r w:rsidRPr="00847146">
        <w:rPr>
          <w:rFonts w:ascii="Cambria Math" w:eastAsia="Times New Roman" w:hAnsi="Cambria Math" w:cs="Cambria Math"/>
          <w:color w:val="000000"/>
          <w:sz w:val="22"/>
          <w:lang w:val="pt-BR"/>
        </w:rPr>
        <w:t>․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հատակագծերով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փողոցների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ընդգծված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պատկերը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,</w:t>
      </w:r>
    </w:p>
    <w:p w14:paraId="74546B1D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</w:t>
      </w:r>
      <w:r w:rsidRPr="00847146">
        <w:rPr>
          <w:rFonts w:ascii="Cambria Math" w:eastAsia="Times New Roman" w:hAnsi="Cambria Math" w:cs="Cambria Math"/>
          <w:color w:val="000000"/>
          <w:sz w:val="22"/>
          <w:lang w:val="pt-BR"/>
        </w:rPr>
        <w:t>․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այդ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ճանապարհների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սպասարկման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պահպանմ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ծախսերը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միջնաժամկետ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ծախսային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ներառելու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տեղեկանքը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,</w:t>
      </w:r>
    </w:p>
    <w:p w14:paraId="659E24C7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</w:t>
      </w:r>
      <w:r w:rsidRPr="00847146">
        <w:rPr>
          <w:rFonts w:ascii="Cambria Math" w:eastAsia="Times New Roman" w:hAnsi="Cambria Math" w:cs="Cambria Math"/>
          <w:color w:val="000000"/>
          <w:sz w:val="22"/>
          <w:lang w:val="pt-BR"/>
        </w:rPr>
        <w:t>․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այդ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ճանապարհների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ստորգետնյա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ենթակառուցվածքների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տեղեկատվություն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հավաստիացում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որ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ծրագրով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նախատեսվող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շինարարական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աշխատանքների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երաշխիքային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ժամկետի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նախատեսվում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նշված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հատվածներում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ստորգետնյա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ենթակառուցվածքների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կառուցման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վերանորոգման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աշխատանքներ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.</w:t>
      </w:r>
    </w:p>
    <w:p w14:paraId="7EF5E033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5</w:t>
      </w:r>
      <w:r w:rsidRPr="00847146">
        <w:rPr>
          <w:rFonts w:ascii="Cambria Math" w:eastAsia="Times New Roman" w:hAnsi="Cambria Math" w:cs="Cambria Math"/>
          <w:color w:val="000000"/>
          <w:sz w:val="22"/>
          <w:lang w:val="pt-BR"/>
        </w:rPr>
        <w:t>․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2)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ոռոգման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համակարգերի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կառուցման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նորոգման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արդյունքում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ակնկալվող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ոռոգելի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հողատարածքների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դրանց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չափերի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քարտեզային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պատ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.</w:t>
      </w:r>
    </w:p>
    <w:p w14:paraId="39A6F2AC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6)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մասնավոր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հատվածի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կազմակերպություններ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բնակչություն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կողմից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տվյալ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հստակ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չափի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տեղեկանքը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պայմանագիրը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ինչպես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նպատակային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ծախսի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ղեկավարի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երաշխավորագիրը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.</w:t>
      </w:r>
    </w:p>
    <w:p w14:paraId="54B88AEC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7)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տեղեկանք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ֆոնդային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նախատեսվող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գումարի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.</w:t>
      </w:r>
    </w:p>
    <w:p w14:paraId="46B662CA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lastRenderedPageBreak/>
        <w:t xml:space="preserve">7.1)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քաղվածք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ավագանու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կողմից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հաստատված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միջնաժամկետ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ծախսերի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.</w:t>
      </w:r>
    </w:p>
    <w:p w14:paraId="5DF8BE2A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8)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փաստաթղթեր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`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ըստ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անհրաժեշտության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7B8B5C68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13.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տնտեսական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սոցիալական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ենթակառուցվածքների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զարգացմանն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ուղղված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ստանալուց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հետո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նախնական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քննարկվում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նախարարությունում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դրույթներին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3C00FBBD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14.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դրույթներին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չհամապատասխանող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ինչպես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կառավարության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2006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թվականի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նոյեմբերի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16-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N 1708-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որոշման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N 3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հավելվածով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ձևաչափին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անհամապատասխան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պահանջվող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փաստաթղթերով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վերադարձվում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ղեկավարներին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լրամշակման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ժամկետ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սահմանելով</w:t>
      </w:r>
      <w:proofErr w:type="spellEnd"/>
      <w:r w:rsidRPr="00847146">
        <w:rPr>
          <w:rFonts w:ascii="Calibri" w:eastAsia="Times New Roman" w:hAnsi="Calibri" w:cs="Calibri"/>
          <w:color w:val="000000"/>
          <w:sz w:val="22"/>
          <w:lang w:val="pt-BR"/>
        </w:rPr>
        <w:t> 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7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աշխատանքային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օր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բայց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ոչ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ուշ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քան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սույն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կարգով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Arial Unicode"/>
          <w:color w:val="000000"/>
          <w:sz w:val="22"/>
          <w:lang w:val="en-US"/>
        </w:rPr>
        <w:t>հայտե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փաթեթների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ընդունման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վերջնաժամկետը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2E1ECCCA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15.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Նախարարությունը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ամփոփելով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փաստաթղթերը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վարչապետի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որոշմամբ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ստեղծված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գնահատման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միջգերատեսչական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այսուհետ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`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անդամներին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ինչպես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անհրաժեշտության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շահագրգիռ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մարմինների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քննարկմանը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04C546AC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16.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անդամները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ստանալուց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հետո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տասը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աշխատանքային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ելնելով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զարգացման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հրատապ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հարցերի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հիմնալուծման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վրա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ազդեցությունից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`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տալիս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եզրակացությունները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բացասական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դիրքորոշումները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նախարարություն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49B9B0CD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17.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Նախարարությունը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ամփոփելով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անդամների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ինչպես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շահագրգիռ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մարմինների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կողմից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կարծիքները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արդյունքները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նիստի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քննարկմանը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: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նիստերում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քննարկվում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ընթացիկ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փետրվարի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15-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ը։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2023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թվականին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նիստերում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քննարկվում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2023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թվականի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31-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:</w:t>
      </w:r>
    </w:p>
    <w:p w14:paraId="3AB8CFB8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17.1.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4-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, 5-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, 10-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11-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կետերով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ժամկետներում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օրենսդրությամբ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ղեկավար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չընտրվելու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ավագանի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չձևավորվելու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դեպքերում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որպես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բացառություն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</w:p>
    <w:p w14:paraId="5F059797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1)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4-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կետով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փաստաթղթերը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ղեկավարները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ներկայացնել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մարզպետարան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ընթացիկ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հունվարի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30-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.</w:t>
      </w:r>
    </w:p>
    <w:p w14:paraId="74955C36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2)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5-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կետով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դրույթներին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բնութագիրը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մարզպետարանները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նախարարություն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ներկայացնել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ընթացիկ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փետրվարի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3-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.</w:t>
      </w:r>
    </w:p>
    <w:p w14:paraId="20FF7416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3)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10-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կետով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ամբողջական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փաթեթները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մարզպետարաններ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ներկայացնել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ընթացիկ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մայիսի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25-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.</w:t>
      </w:r>
    </w:p>
    <w:p w14:paraId="03153C33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4)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11-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կետով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ամբողջական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փաթեթները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մարզպետարանները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նախարարություն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ներկայացնել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ընթացիկ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մայիսի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30-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.</w:t>
      </w:r>
    </w:p>
    <w:p w14:paraId="60B31996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5)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17-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կետով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նիստերում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քննարկվել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հունիսի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15-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ը։</w:t>
      </w:r>
    </w:p>
    <w:p w14:paraId="059426DD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18.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նիստի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տալիս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բացասական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լրամշակման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վերադարձնելու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եզրակացություն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ելնելով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</w:p>
    <w:p w14:paraId="1FA3A3BC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1)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տարածքների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համաչափ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զարգացման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միտումներից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.</w:t>
      </w:r>
    </w:p>
    <w:p w14:paraId="63CD26A8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2)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սոցիալ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-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տնտեսական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զարգացման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վրա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ազդեցությունից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.</w:t>
      </w:r>
    </w:p>
    <w:p w14:paraId="5050E02F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3)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-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մասնավոր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համագործակցության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առկայությունից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49B54D28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19.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նիստի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յուրաքանչյուր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բացասական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լրամշակման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վերադարձնելու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եզրակացությունը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տրվում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lastRenderedPageBreak/>
        <w:t>անդամների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քվեարկությամբ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ձայների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պարզ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մեծամասնությամբ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Ձայների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հավասարության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նախագահի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ձայնը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վճռորոշ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է։</w:t>
      </w:r>
    </w:p>
    <w:p w14:paraId="4B5DC874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20.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Լրամշակման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վերադարձվող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յուրաքանչյուր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լրամշակման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ժամկետը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բայց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ոչ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20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աշխատանքային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67DFEA92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21.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որոշմամբ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ժամկետում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լրամշակված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քննարկվում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նիստում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կատարված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փոփոխությունների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ներկայացմամբ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քարտուղարի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կողմից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1436DA7A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22.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եզրակացության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նախարարությունը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երեք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աշխատանքային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օրվա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տեղեկացնում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ղեկավարին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`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նշելով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պետական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տրամադրման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տոկոսը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վերջինիս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առաջարկում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կազմակերպել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գնման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մրցակցային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գործընթաց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`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օրենսդրությամբ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մրցույթի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արդյունքներով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հաստատված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ներկայացնել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նախարարություն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:</w:t>
      </w:r>
    </w:p>
    <w:p w14:paraId="05CF5825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23.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տարածքային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կառավարման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ենթակառուցվածքների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նախարարը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օրենսդրությամբ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ինչպես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հիմք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ընդունելով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որոշման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N 4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հավելվածով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հսկողության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մշտադիտարկման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գործընթացները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կառավարություն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ներկայացնում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առաջարկություն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`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ծրագիրը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չափաբաժինները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ֆինանսավորելու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պետական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տեսքով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միջոցներ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հատկացնելու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վերաբերյալ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748BC73A" w14:textId="77777777" w:rsidR="00847146" w:rsidRPr="00847146" w:rsidRDefault="00847146" w:rsidP="0084714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24.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պետական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տնտեսական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սոցիալական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ենթակառուցվածքների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զարգացմանն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ուղղված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տրամադրվում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ընդհանուր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արժեքի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հետևյալ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չափաբաժնով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ըստ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հետևյալ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ոլորտների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</w:p>
    <w:p w14:paraId="3166EB7D" w14:textId="77777777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Calibri" w:eastAsia="Times New Roman" w:hAnsi="Calibri" w:cs="Calibri"/>
          <w:color w:val="000000"/>
          <w:sz w:val="22"/>
          <w:lang w:val="pt-BR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1580"/>
        <w:gridCol w:w="1645"/>
        <w:gridCol w:w="1580"/>
        <w:gridCol w:w="1176"/>
        <w:gridCol w:w="1491"/>
      </w:tblGrid>
      <w:tr w:rsidR="00847146" w:rsidRPr="00847146" w14:paraId="57384B65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5464F825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ոլորտը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14:paraId="40908632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Հայաստանի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Հանրապետության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պետական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բյուջեից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տրամադրվող</w:t>
            </w:r>
            <w:proofErr w:type="spellEnd"/>
          </w:p>
          <w:p w14:paraId="03791571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սուբվենցիայի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չափաբաժինը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տոկոս</w:t>
            </w:r>
            <w:proofErr w:type="spellEnd"/>
          </w:p>
        </w:tc>
      </w:tr>
      <w:tr w:rsidR="00847146" w:rsidRPr="00847146" w14:paraId="1270651A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13623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6AB64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մայրաքաղաքից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մինչև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60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հեռավորություն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ունեցող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բնակավայր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9EA87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մայրաքաղաքից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60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կմ-ից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ավելի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մարզկենտրոնից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մինչև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30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հեռավորություն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ունեցող</w:t>
            </w:r>
            <w:proofErr w:type="spellEnd"/>
          </w:p>
          <w:p w14:paraId="0CC716A9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բնակավայր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BD0E29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մայրաքաղաքից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100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կմ-ից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ավելի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հեռավորություն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ունեցող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բնակավայր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520A7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բարձր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լեռնային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բնակավայր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24D69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Սահմանամերձ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բնակավայր</w:t>
            </w:r>
            <w:proofErr w:type="spellEnd"/>
          </w:p>
        </w:tc>
      </w:tr>
      <w:tr w:rsidR="00847146" w:rsidRPr="00847146" w14:paraId="054E77A1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35382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Խմելու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ջրամատակարարման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ինչպես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ջրահեռացման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համակարգի</w:t>
            </w:r>
            <w:proofErr w:type="spellEnd"/>
          </w:p>
          <w:p w14:paraId="3807A3DA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կառուցում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նորոգում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5C554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FE6E7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A1F63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2C8FE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5A2AD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70</w:t>
            </w:r>
          </w:p>
        </w:tc>
      </w:tr>
      <w:tr w:rsidR="00847146" w:rsidRPr="00847146" w14:paraId="25B879D9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0187B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Ոռոգման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համակարգի</w:t>
            </w:r>
            <w:proofErr w:type="spellEnd"/>
          </w:p>
          <w:p w14:paraId="51C7FAFA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կառուցում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նորոգում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42FEB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F482D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0BF49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744A9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1EC06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70</w:t>
            </w:r>
          </w:p>
        </w:tc>
      </w:tr>
      <w:tr w:rsidR="00847146" w:rsidRPr="00847146" w14:paraId="45EBF36F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7413D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Բնակավայրի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փողոցների</w:t>
            </w:r>
            <w:proofErr w:type="spellEnd"/>
          </w:p>
          <w:p w14:paraId="49FE9EF8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կառուցում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նորոգում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ասֆալտապատմամբ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579D1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F2C14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ADD59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A7041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14E0C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55</w:t>
            </w:r>
          </w:p>
        </w:tc>
      </w:tr>
      <w:tr w:rsidR="00847146" w:rsidRPr="00847146" w14:paraId="3C856227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6B156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Բնակավայրի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փողոցների</w:t>
            </w:r>
            <w:proofErr w:type="spellEnd"/>
          </w:p>
          <w:p w14:paraId="382DD2B6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կառուցում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նորոգում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սալարկմամբ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խճապատմամբ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958DF" w14:textId="77777777" w:rsidR="00847146" w:rsidRPr="00847146" w:rsidRDefault="00847146" w:rsidP="00847146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D34B2A" w14:textId="77777777" w:rsidR="00847146" w:rsidRPr="00847146" w:rsidRDefault="00847146" w:rsidP="00847146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7502B" w14:textId="77777777" w:rsidR="00847146" w:rsidRPr="00847146" w:rsidRDefault="00847146" w:rsidP="00847146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B4728" w14:textId="77777777" w:rsidR="00847146" w:rsidRPr="00847146" w:rsidRDefault="00847146" w:rsidP="00847146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759296" w14:textId="77777777" w:rsidR="00847146" w:rsidRPr="00847146" w:rsidRDefault="00847146" w:rsidP="00847146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70</w:t>
            </w:r>
          </w:p>
        </w:tc>
      </w:tr>
      <w:tr w:rsidR="00847146" w:rsidRPr="00847146" w14:paraId="64DAE154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34DF4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lastRenderedPageBreak/>
              <w:t>Հեռագնա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արոտների</w:t>
            </w:r>
            <w:proofErr w:type="spellEnd"/>
          </w:p>
          <w:p w14:paraId="53A27709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ճանապարհների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բարելավում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D759B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56CE9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009EC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C99680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F7867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60</w:t>
            </w:r>
          </w:p>
        </w:tc>
      </w:tr>
      <w:tr w:rsidR="00847146" w:rsidRPr="00847146" w14:paraId="701104CD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035285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Փողոցային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լուսավորության</w:t>
            </w:r>
            <w:proofErr w:type="spellEnd"/>
          </w:p>
          <w:p w14:paraId="66818D95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համակարգի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կառուցում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նորոգում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18218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89AF4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D3A04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767D8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77B2BF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70</w:t>
            </w:r>
          </w:p>
        </w:tc>
      </w:tr>
      <w:tr w:rsidR="00847146" w:rsidRPr="00847146" w14:paraId="6DDB634D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22E3F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Վերականգնվող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էներգետիկա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այդ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թվում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`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արևային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ֆոտովոլտային</w:t>
            </w:r>
            <w:proofErr w:type="spellEnd"/>
          </w:p>
          <w:p w14:paraId="00E517CF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կայանների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տեղադրում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F0968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8D73C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6194D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5663A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FB54E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70</w:t>
            </w:r>
          </w:p>
        </w:tc>
      </w:tr>
      <w:tr w:rsidR="00847146" w:rsidRPr="00847146" w14:paraId="1051CBE9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D6574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Բնակավայրերի</w:t>
            </w:r>
            <w:proofErr w:type="spellEnd"/>
          </w:p>
          <w:p w14:paraId="29A9DCF2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գազաֆիկացում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E0687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D685A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8E930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69B86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92949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65</w:t>
            </w:r>
          </w:p>
        </w:tc>
      </w:tr>
      <w:tr w:rsidR="00847146" w:rsidRPr="00847146" w14:paraId="7A9DAE41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85CD2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Նախադպրոցական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հաստատությունների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կառուցում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,</w:t>
            </w:r>
          </w:p>
          <w:p w14:paraId="34DDC074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վերակառուցում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նորոգում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CE5A7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30464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C7088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5E314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54FA9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80</w:t>
            </w:r>
          </w:p>
        </w:tc>
      </w:tr>
      <w:tr w:rsidR="00847146" w:rsidRPr="00847146" w14:paraId="7A6D6F28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32E5BC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Բազմաբնակարան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շենքերի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ընդհանուր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բաժնային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սեփականության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գույքի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նորոգում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այդ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թվում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էներգախնայող</w:t>
            </w:r>
            <w:proofErr w:type="spellEnd"/>
          </w:p>
          <w:p w14:paraId="51A402FC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միջոցառումների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կիրառում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36566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5CA74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49A28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ADE74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4CD87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60</w:t>
            </w:r>
          </w:p>
        </w:tc>
      </w:tr>
      <w:tr w:rsidR="00847146" w:rsidRPr="00847146" w14:paraId="0C9088A1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E5DCC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Մեքենասարքավորումների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,</w:t>
            </w:r>
          </w:p>
          <w:p w14:paraId="00713627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տեխնիկայի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գույքի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ձեռքբերում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71DE2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224EB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F2B19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50019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1AAC1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60</w:t>
            </w:r>
          </w:p>
        </w:tc>
      </w:tr>
      <w:tr w:rsidR="00847146" w:rsidRPr="00847146" w14:paraId="795F106C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64C27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Աղբավայրերի</w:t>
            </w:r>
            <w:proofErr w:type="spellEnd"/>
          </w:p>
          <w:p w14:paraId="7B342877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բարեկարգում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փակում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15531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E0B4D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43BED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BBA5B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904EF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60</w:t>
            </w:r>
          </w:p>
        </w:tc>
      </w:tr>
      <w:tr w:rsidR="00847146" w:rsidRPr="00847146" w14:paraId="2EE3EFC1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60A00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Հասարակական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շենքերի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մշակույթի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համայնքային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կենտրոններ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այլն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)</w:t>
            </w:r>
          </w:p>
          <w:p w14:paraId="35BA8B20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կառուցում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վերանորոգում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781E65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2E561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6882A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28980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1CFF7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60</w:t>
            </w:r>
          </w:p>
        </w:tc>
      </w:tr>
      <w:tr w:rsidR="00847146" w:rsidRPr="00847146" w14:paraId="45F42A07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17B5B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Այգիների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պուրակների</w:t>
            </w:r>
            <w:proofErr w:type="spellEnd"/>
          </w:p>
          <w:p w14:paraId="11964467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կառուցում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բարեկարգում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ADE16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6D473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10D2F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36989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D4A614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55</w:t>
            </w:r>
          </w:p>
        </w:tc>
      </w:tr>
      <w:tr w:rsidR="00847146" w:rsidRPr="00847146" w14:paraId="75FF30F7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D2370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Oպտիկամանրաթելային</w:t>
            </w:r>
            <w:proofErr w:type="spellEnd"/>
          </w:p>
          <w:p w14:paraId="044551D0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ցանցի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կապուղու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կառուցում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բարելավում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04F08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4E821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A2E80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6CFB8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BC347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55</w:t>
            </w:r>
          </w:p>
        </w:tc>
      </w:tr>
      <w:tr w:rsidR="00847146" w:rsidRPr="00847146" w14:paraId="46C7E6D9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65A15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Քաղաքացիական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պաշտպանության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ենթակառուցվածքների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ինչպես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ապաստարանների</w:t>
            </w:r>
            <w:proofErr w:type="spellEnd"/>
          </w:p>
          <w:p w14:paraId="40BAB643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կառուցում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նորոգում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F11FD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91F518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47FEC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C5148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71B1D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65</w:t>
            </w:r>
          </w:p>
        </w:tc>
      </w:tr>
      <w:tr w:rsidR="00847146" w:rsidRPr="00847146" w14:paraId="6BEDF7A4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FFF53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Համայնքների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քաղաքաշինական</w:t>
            </w:r>
            <w:proofErr w:type="spellEnd"/>
          </w:p>
          <w:p w14:paraId="7B2313F3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lastRenderedPageBreak/>
              <w:t>փաստաթղթերի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մշակում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15AC6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41D66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87FC2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3A2E0A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4F313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55</w:t>
            </w:r>
          </w:p>
        </w:tc>
      </w:tr>
    </w:tbl>
    <w:p w14:paraId="401D5444" w14:textId="77777777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24.1.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Մասնավոր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հատվածի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կազմակերպություններ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ընկերություններ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բնակչություն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),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ինչպես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դոնոր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կազմակերպությունների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կողմից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20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տոկոս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պետական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չափաբաժինն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ավելանում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5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տոկոսով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:</w:t>
      </w:r>
    </w:p>
    <w:p w14:paraId="06CDEA45" w14:textId="77777777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24.2.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Մինչև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25,0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մլն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ունեցող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յուրաքանչյուր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պետական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չափաբաժինն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ավելանում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10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տոկոսով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:</w:t>
      </w:r>
    </w:p>
    <w:p w14:paraId="4FAD7636" w14:textId="77777777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24.3.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Խոշորացված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տարբեր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բնակավայրերում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պետական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տնտեսական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սոցիալական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ենթակառուցվածքների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զարգացմանն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ուղղված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չափաբաժինը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որոշվում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շրջանակներում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50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տոկոս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կազմող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բնակավայրերի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աշխարհագրական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դիրքին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չափաբաժիններով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3A7B82E3" w14:textId="77777777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24.4. «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Բազմաբնակարան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շենքերի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ընդհանուր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բաժնային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սեփականության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գույքի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նորոգում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էներգախնայող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միջոցառումների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կիրառում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»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կիրառման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պարտադիր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պահանջ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բազմաբնակարան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շենքերի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բնակիչների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մասնակցությունը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ընդհանուր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արժեքի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5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տոկոս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ավելիի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չափով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ամբողջական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էներգախնայող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միջոցառումների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կիրառման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10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տոկոս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չափով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առանց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էներգախնայող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միջոցառումների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կիրառման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073A2332" w14:textId="77777777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24.5.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Դոնոր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կազմակերպության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կողմից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ընդհանուր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արժեքի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51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ավել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տոկոս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դեպքում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նախագծման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շինարարական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ինչպես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գույքի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տեխնիկայի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ձեռքբերման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գործընթացները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իրականացվել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նշված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կազմակերպության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կողմից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՝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«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Գնումների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մասին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»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օրենքի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դրույթների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համաձայն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ողջ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գործընթացը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համաձայնեցնելով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և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մարզպետարանների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հետ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240766BB" w14:textId="77777777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25.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Սուբվենցիան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տրամադրվում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կառավարության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2006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թվականի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նոյեմբերի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16-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N 1708-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որոշման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1-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կետով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հաստատված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կարգի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2–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րդ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բաժնով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սահմանված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ընթացակարգին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>:</w:t>
      </w:r>
    </w:p>
    <w:p w14:paraId="4AFCCD2E" w14:textId="77777777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pt-BR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26.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Հանձնաժողովի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կողմից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դրական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եզրակացություն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ստացած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պետական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մրցութային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փուլի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արդյունքներով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հաստատված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հայտի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ընդհանուր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գումարի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տոկոսի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չափով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ընդհանուր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գումարից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պետական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բյուջեի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չափաբաժնով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համաֆինանսավորումը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կատարվում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համապատասխան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չափաբաժնի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ֆինանսավորումից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հետո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իրականացման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արդյունքում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խնայված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ինչպես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նաև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կապալառուի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կողմից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գանձվող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տույժ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տուգանքների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գումարը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բաշխվում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է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pt-BR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համամասնորեն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։</w:t>
      </w:r>
    </w:p>
    <w:p w14:paraId="0E664844" w14:textId="1795E232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en-US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9"/>
        <w:gridCol w:w="4521"/>
      </w:tblGrid>
      <w:tr w:rsidR="00847146" w:rsidRPr="00847146" w14:paraId="3DB6E3E5" w14:textId="77777777" w:rsidTr="00847146">
        <w:trPr>
          <w:tblCellSpacing w:w="7" w:type="dxa"/>
        </w:trPr>
        <w:tc>
          <w:tcPr>
            <w:tcW w:w="0" w:type="auto"/>
            <w:vAlign w:val="center"/>
            <w:hideMark/>
          </w:tcPr>
          <w:p w14:paraId="04EF21D6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</w:p>
        </w:tc>
        <w:tc>
          <w:tcPr>
            <w:tcW w:w="4500" w:type="dxa"/>
            <w:vAlign w:val="bottom"/>
            <w:hideMark/>
          </w:tcPr>
          <w:p w14:paraId="3E93DE5C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542C8115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04944FA0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73342B3B" w14:textId="77777777" w:rsid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746F72B8" w14:textId="77777777" w:rsid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3B99B187" w14:textId="77777777" w:rsid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2E1A1417" w14:textId="77777777" w:rsid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387A7760" w14:textId="77777777" w:rsid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075117AD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3D20580C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23E93662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2E9143B9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4745A102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61464A21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0FD3CCFA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6BEAD4FF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5AFE0F4E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4C3A0B2E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4B0ADB2D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2CE05AA8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1E16FBBE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</w:pPr>
          </w:p>
          <w:p w14:paraId="64F1CD01" w14:textId="3602A23E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lastRenderedPageBreak/>
              <w:t>Հավելված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 xml:space="preserve"> N 3</w:t>
            </w:r>
          </w:p>
          <w:p w14:paraId="2B529D65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 xml:space="preserve">ՀՀ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կառավարության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 xml:space="preserve"> 2006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թվականի</w:t>
            </w:r>
            <w:proofErr w:type="spellEnd"/>
          </w:p>
          <w:p w14:paraId="1B6CF31A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նոյեմբերի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 xml:space="preserve"> 16-ի N 1708-Ն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val="en-US"/>
              </w:rPr>
              <w:t>որոշման</w:t>
            </w:r>
            <w:proofErr w:type="spellEnd"/>
          </w:p>
        </w:tc>
      </w:tr>
    </w:tbl>
    <w:p w14:paraId="2C518B8E" w14:textId="77777777" w:rsidR="00847146" w:rsidRPr="00847146" w:rsidRDefault="00847146" w:rsidP="00847146">
      <w:pPr>
        <w:shd w:val="clear" w:color="auto" w:fill="FFFFFF"/>
        <w:spacing w:after="0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Calibri" w:eastAsia="Times New Roman" w:hAnsi="Calibri" w:cs="Calibri"/>
          <w:color w:val="000000"/>
          <w:sz w:val="22"/>
          <w:lang w:val="en-US"/>
        </w:rPr>
        <w:lastRenderedPageBreak/>
        <w:t> </w:t>
      </w:r>
    </w:p>
    <w:p w14:paraId="4F638560" w14:textId="77777777" w:rsidR="00847146" w:rsidRPr="00847146" w:rsidRDefault="00847146" w:rsidP="00847146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u w:val="single"/>
          <w:lang w:val="en-US"/>
        </w:rPr>
        <w:t>Ձև</w:t>
      </w:r>
      <w:proofErr w:type="spellEnd"/>
    </w:p>
    <w:p w14:paraId="380095F5" w14:textId="77777777" w:rsidR="00847146" w:rsidRPr="00847146" w:rsidRDefault="00847146" w:rsidP="00847146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Calibri" w:eastAsia="Times New Roman" w:hAnsi="Calibri" w:cs="Calibri"/>
          <w:color w:val="000000"/>
          <w:sz w:val="22"/>
          <w:lang w:val="en-US"/>
        </w:rPr>
        <w:t> </w:t>
      </w:r>
    </w:p>
    <w:p w14:paraId="0985A8EE" w14:textId="77777777" w:rsidR="00847146" w:rsidRPr="00847146" w:rsidRDefault="00847146" w:rsidP="00847146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 Ա Յ Տ</w:t>
      </w:r>
    </w:p>
    <w:p w14:paraId="67AE6C87" w14:textId="77777777" w:rsidR="00847146" w:rsidRPr="00847146" w:rsidRDefault="00847146" w:rsidP="00847146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Calibri" w:eastAsia="Times New Roman" w:hAnsi="Calibri" w:cs="Calibri"/>
          <w:color w:val="000000"/>
          <w:sz w:val="22"/>
          <w:lang w:val="en-US"/>
        </w:rPr>
        <w:t> </w:t>
      </w:r>
    </w:p>
    <w:p w14:paraId="29866E7B" w14:textId="77777777" w:rsidR="00847146" w:rsidRPr="00847146" w:rsidRDefault="00847146" w:rsidP="00847146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տնտեսական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սոցիալական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ենթակառուցվածքների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զարգացմանն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ուղղված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սուբվենցիաների</w:t>
      </w:r>
      <w:proofErr w:type="spellEnd"/>
    </w:p>
    <w:p w14:paraId="25492CB1" w14:textId="77777777" w:rsidR="00847146" w:rsidRPr="00847146" w:rsidRDefault="00847146" w:rsidP="00847146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Calibri" w:eastAsia="Times New Roman" w:hAnsi="Calibri" w:cs="Calibri"/>
          <w:color w:val="000000"/>
          <w:sz w:val="22"/>
          <w:lang w:val="en-US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6770"/>
      </w:tblGrid>
      <w:tr w:rsidR="00847146" w:rsidRPr="00847146" w14:paraId="08F393F7" w14:textId="77777777" w:rsidTr="00847146">
        <w:trPr>
          <w:tblCellSpacing w:w="22" w:type="dxa"/>
          <w:jc w:val="center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3444B23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3201B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անվանումը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պետք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հնարավորինս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հստակ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արտացոլի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էությունը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</w:p>
        </w:tc>
      </w:tr>
      <w:tr w:rsidR="00847146" w:rsidRPr="00847146" w14:paraId="55D1C4E5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380215B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Մարզ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C637E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Մարզի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անվանումը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</w:p>
        </w:tc>
      </w:tr>
      <w:tr w:rsidR="00847146" w:rsidRPr="00847146" w14:paraId="0EF3D238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B7B6326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7A076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անվանումը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: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Խոշորացված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համայնքների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մասնակից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բնակավայրերի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անվանումները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</w:p>
        </w:tc>
      </w:tr>
      <w:tr w:rsidR="00847146" w:rsidRPr="00847146" w14:paraId="1757E95D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AD471DB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բնակավայրի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հեռավորությունը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մայրաքաղաք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Երևանից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ինչպես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մարզկենտրոնից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0AB4A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gram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....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կմ</w:t>
            </w:r>
            <w:proofErr w:type="spellEnd"/>
            <w:proofErr w:type="gram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,,,,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կմ</w:t>
            </w:r>
            <w:proofErr w:type="spellEnd"/>
          </w:p>
        </w:tc>
      </w:tr>
      <w:tr w:rsidR="00847146" w:rsidRPr="00847146" w14:paraId="237B22B2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2A04019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բնակավայրի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բնակչությունը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7C91C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՝ </w:t>
            </w:r>
            <w:r w:rsidRPr="00847146">
              <w:rPr>
                <w:rFonts w:ascii="Cambria Math" w:eastAsia="Times New Roman" w:hAnsi="Cambria Math" w:cs="Cambria Math"/>
                <w:i/>
                <w:iCs/>
                <w:color w:val="000000"/>
                <w:sz w:val="22"/>
                <w:lang w:val="en-US"/>
              </w:rPr>
              <w:t>․․․․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մարդ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ծրագիրն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իրականացնող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բնակավայրի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բնակավայրերի</w:t>
            </w:r>
            <w:proofErr w:type="spellEnd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՝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r w:rsidRPr="00847146">
              <w:rPr>
                <w:rFonts w:ascii="Cambria Math" w:eastAsia="Times New Roman" w:hAnsi="Cambria Math" w:cs="Cambria Math"/>
                <w:i/>
                <w:iCs/>
                <w:color w:val="000000"/>
                <w:sz w:val="22"/>
                <w:lang w:val="en-US"/>
              </w:rPr>
              <w:t>․․․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մար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</w:t>
            </w:r>
            <w:proofErr w:type="spellEnd"/>
          </w:p>
        </w:tc>
      </w:tr>
      <w:tr w:rsidR="00847146" w:rsidRPr="00847146" w14:paraId="4EF84267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14:paraId="45EED351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Սահմանամերձ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բնակավայր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D9D4B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եթե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համայնքը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հանդիսանում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սահմանամերձ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ծրագիր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իրականացնող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ո՞ր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բնակավայրը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բնակավայրերն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հանդիսանում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սահմանամերձ</w:t>
            </w:r>
            <w:proofErr w:type="spellEnd"/>
          </w:p>
        </w:tc>
      </w:tr>
      <w:tr w:rsidR="00847146" w:rsidRPr="00847146" w14:paraId="0906F2CB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5184282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Բարձր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լեռնային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բնակավայրի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C4DF1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եթե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համայնքը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ծրագիր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իրականացնող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բնակավայրը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բնակավայրերը</w:t>
            </w:r>
            <w:proofErr w:type="spellEnd"/>
            <w:r w:rsidRPr="0084714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հանդիսանում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է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բարձր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լեռնային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համայն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ք</w:t>
            </w:r>
            <w:proofErr w:type="spellEnd"/>
          </w:p>
        </w:tc>
      </w:tr>
      <w:tr w:rsidR="00847146" w:rsidRPr="00847146" w14:paraId="2B14140B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A9CF9DC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գլխավոր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հատակագծի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առկայություն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A5BE5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Այո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/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ոչ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,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Այո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-ի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հաստատման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ամսաթիվը</w:t>
            </w:r>
            <w:proofErr w:type="spellEnd"/>
          </w:p>
        </w:tc>
      </w:tr>
      <w:tr w:rsidR="00847146" w:rsidRPr="00847146" w14:paraId="4475F00C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C51B826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ծրագիր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իրականացվող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բնակավայրի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բնակավայրերի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ենթակառուցվածքների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վերաբերյալ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հակիրճ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տեղեկատվություն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՝</w:t>
            </w:r>
            <w:r w:rsidRPr="00847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en-US"/>
              </w:rPr>
              <w:t>հստակ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en-US"/>
              </w:rPr>
              <w:t>նշելով</w:t>
            </w:r>
            <w:proofErr w:type="spellEnd"/>
            <w:r w:rsidRPr="00847146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en-US"/>
              </w:rPr>
              <w:t>՝</w:t>
            </w:r>
          </w:p>
          <w:p w14:paraId="26124E97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ջրամատակարարման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ջրահեռացման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համակարգից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օգտվող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բնակչության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տոկոսը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ջրամատակարարման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տևողությունը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,</w:t>
            </w:r>
          </w:p>
          <w:p w14:paraId="275DC6F5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գազամատակարարման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համակարգից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օգտվող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բնակչության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տոկոսը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,</w:t>
            </w:r>
          </w:p>
          <w:p w14:paraId="53A65F26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lastRenderedPageBreak/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ոռոգման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համակարգից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օգտվող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բնակչության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տոկոսը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գյուղատնտեսական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հողերից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ոռոգվող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հողատարածքների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տոկոսը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,</w:t>
            </w:r>
          </w:p>
          <w:p w14:paraId="309D0CD9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լուսավորության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համակարգի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առկայությամբ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փողոցների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տոկոսը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ընդհանուր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փողոցների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մեջ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էներգախնայող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և ԼԵԴ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լուսավորություն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է,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թե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ոչ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2A4B8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lastRenderedPageBreak/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բնակավայրի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)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ջրամատակարարման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ջրահեռացման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էլեկտրագազամատակարարման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ոռոգման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փողոցային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լուսավորության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վիճակի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վերաբերյալ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տեղեկատվություն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։</w:t>
            </w:r>
          </w:p>
        </w:tc>
      </w:tr>
      <w:tr w:rsidR="00847146" w:rsidRPr="00847146" w14:paraId="45136A14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86E7F4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ընդհանուր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նկարագրությունը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դրա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անհրաժեշտությունը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D758E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Մանրամասն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նկարագրել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թե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որոնք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այն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առկա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կոնկրետ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խնդիրները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որոնք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պետք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լուծել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ընդհանուր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նպատակին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ակնկալվող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արդյունքներին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հասնելու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: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Խնդիրները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պետք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լինեն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հնարավորինս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կոնկրետ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չափելի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իրատեսական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  <w:r w:rsidRPr="0084714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անհրաժեշտությունը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հիմնավորող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բացատրագիր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</w:p>
        </w:tc>
      </w:tr>
      <w:tr w:rsidR="00847146" w:rsidRPr="00847146" w14:paraId="53D7C376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D96287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ակնկալվող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արդյունքները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որոնց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միջոցով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պետք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հասնել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նպատակին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58B23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այն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արդյունքները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որոնց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պետք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հասնել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շրջանակներում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վերջինիս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նպատակին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հասնելու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համապատասխանելիությունը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ծրագիր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իրականացնող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բնակավայրի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բնակավայրերի</w:t>
            </w:r>
            <w:proofErr w:type="spellEnd"/>
            <w:r w:rsidRPr="0084714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զարգացման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ռազմավարության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հետ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և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դրանց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իրագործման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շոշափելի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ազդեցությունը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միջնաժամկետ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և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երկարաժամկետ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կտրվածքով</w:t>
            </w:r>
            <w:proofErr w:type="spellEnd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։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թե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արդյունքում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ինչպե՞ս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կփոխվի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ծրագիր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իրականացնող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բնակավայրի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բնակավայրերի</w:t>
            </w:r>
            <w:proofErr w:type="spellEnd"/>
            <w:r w:rsidRPr="0084714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բնակչության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ապրելակերպը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և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կյանքի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որակը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ավարտից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հետո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`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միջնաժամկետ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և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երկարաժամկետ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ազդեցությունները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: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Հիմնավորել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`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ցույց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տալով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կապը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շրջանակներում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լուծվող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խնդիրների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և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իրականացվող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գ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ործունեության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արդյունքների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Սպասվող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արդյունքների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նկարագրությունը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պետք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լինի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հնարավորինս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կոնկրետ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իրատեսական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գնահատելի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չափելի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</w:p>
        </w:tc>
      </w:tr>
      <w:tr w:rsidR="00847146" w:rsidRPr="00847146" w14:paraId="74CA2215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772688D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արդյունքներին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հասնելու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գործողությունները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միջոցառումները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1A52B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Մանրամասն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նկարագրել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շրջանակներում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նախատեսվող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գործողություններն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միջոցառումները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դրանց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ժամկետները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ծախսերը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որոնք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պետք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լինեն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հստակ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չափելի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Մանրամասն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իրականացվող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աշխատանքների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ծավալները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այդ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`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շինարարական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աշխատանքների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ծավալները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նախադպրոցական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հաստատությունների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հանրային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շենք-շինությունների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բազմաբնակարան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շենքերի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քաղաքացիական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պաշտպանության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ենթակառուցվածքների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ինչպես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ապաստարանների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մակերեսները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տանիքների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վերակառուցման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նորոգման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տանիքների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մակերեսները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իսկ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ԷԽ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միջոցառումների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շենքերի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ծավալները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),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կառուցվող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նորոգվող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փողոցների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մայթերի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երկարություններն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մակերեսները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ջրամատակարարման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կոյուղու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ոռոգման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գազի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խողովակների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երկարությունները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lastRenderedPageBreak/>
              <w:t>նկարագրությունները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լուսավորության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հաղորդալարերի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երկարությունները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հենասյուների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քանակը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լուսատուների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(ԼԵԴ)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նկարագրությունները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օպտիկամալուխային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հաղորդալարերի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երկարությունները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դրանց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թողունակությունները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։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Ընդ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որում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անհրաժեշտ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առանձին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օպտիկամալուխային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կապի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սպասարկման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մրցութային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գործընթացի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արդյունքներով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ընտրված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օպերատորի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կողմից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սպասարկման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վերաբերյալ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տեղեկանքը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</w:p>
        </w:tc>
      </w:tr>
      <w:tr w:rsidR="00847146" w:rsidRPr="00847146" w14:paraId="71B61245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98A7A11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lastRenderedPageBreak/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արդյունքում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սեփականության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իրավունքով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պատկանող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հիմնական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միջոցների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արժեքի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ավելացում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բացառությամբ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բազմաբնակարան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շենքերի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ընդհանուր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բաժնային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սեփականության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գույքի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98A29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թե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իրականացումն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ինչ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ազդեցություն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կունենա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համայնքին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սեփականության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իրավունքով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պատկանող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հիմնական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միջոցների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արժեքի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վրա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մասնավորապես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գույքը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վրա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պլանավորվում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ազդեցությունը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սեփականության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իրավունքով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պատկանում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համայնքին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նախատեսվող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ծախսերը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կապիտալ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բնույթի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</w:p>
        </w:tc>
      </w:tr>
      <w:tr w:rsidR="00847146" w:rsidRPr="00847146" w14:paraId="26BD2816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0E7D6ED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ազդեցությունը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շահառուների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վրա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D37AA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-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ուղղակի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շահառուների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քանակը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  <w:t>-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շահառուների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վրա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արդյունքում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եկամտի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ավելացման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, և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)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խնայողությունների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ավելացման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)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հարմարավետության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ապահովման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չափը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  <w:t>-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Խմելու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ջրի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ջրահեռացման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համակարգի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արդյունքում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համակարգից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օգտվող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տնային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տնտեսությունների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ջրամատակարարման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որակը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տևողությունը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` ժ/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օր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ջրի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կորստի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նվազեցման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չափը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  <w:t>-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Ոռոգման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համակարգի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արդյունքում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ոռոգվող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տարածքը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,</w:t>
            </w:r>
            <w:r w:rsidRPr="0084714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կցել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քարտեզագրված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պատկերը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համակարգից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օգտվող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գյուղացիական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տնտեսությունների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  <w:t>-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Փողոցների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կառուցման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նորոգման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փողոցային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լուսավորության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փողոցի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գլխավոր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երկրորդային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լինելը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փողոցի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նպատակային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կիրառությունը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դպրոցին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արդյունաբերական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տարածքին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զբոսաշրջային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վայրերին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հարակից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լինելը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ինչպես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փողոցի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)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անվանումները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կցել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հատակագծերով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սահմանված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փողոցի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)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ընդգծված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պատկերը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ստորգետնյա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ենթակառուցվածքների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վերաբերյալ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տեղեկատվությունը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։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  <w:t>-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Հանրային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շենքերում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ֆոտովոլտային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կայանների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տեղադրման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շահառուների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արտադրվող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էներգիայի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քանակը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էներգախնայողության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չափը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արտադրվող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էներգիայի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մասնաբաժինն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ընդհանուր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էլեկտրաէներգիայի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ծախսի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մեջ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  <w:t>-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Մեքենասարքավորումների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ձեռքբերման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դրանց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շահագործումից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օգտվող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բնակչության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սպասարկվող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տարածքի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չափը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կցել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կնքված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երաշխավորագիրը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`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մեքենասարքավորումների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սպասարկման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պահպանման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ծախսերի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դրանց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շահագործումից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ստացվող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եկամուտները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համայնքային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բյուջե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ուղղելու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բնակչության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դրանց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հասանելիության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վերաբերյալ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Հանրային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շենքերի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վերանորոգման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կառուցման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շահառուների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սպասարկվող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համայնքների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բնակչության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ստեղծվող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աշխատատեղերի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այլընտրանքի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lastRenderedPageBreak/>
              <w:t>առկայությունը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։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  <w:t>-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Այգիների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պուրակների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կառուցում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բարեկարգում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շահառուների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զբոսաշրջային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կենտրոնից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պատմամշակութային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հուշարձաններից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հեռավորությունը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տարածք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այցելող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զբոսաշրջիկների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տարեկան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</w: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-</w:t>
            </w:r>
            <w:r w:rsidRPr="0084714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Գազամատակարարման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՝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արդյունքում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գազամատակարարման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համակարգից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օգտվող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տնային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տնտեսությունների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։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Նախադպրոցական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հաստատությունների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կառուցման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նորոգման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հաստատության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ջեռուցման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ինչպես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ամբողջական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գույքի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ապահովման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նախատեսվող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միջոցառումների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վերաբերյալ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տեղեկատվությունը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արդյունքում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նախադպրոցական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սաների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ստեղծվող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աշխատատեղերի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։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Բազմաբնակարան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շենքերի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ընդհանուր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բաժնային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սեփականության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գույքի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վերանորոգման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այդ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էներգախնայողության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միջոցառումների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կիրառմամբ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շենքերի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բնակարանների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բնակիչների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։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Հեռագնա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արոտների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ճանապարհների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բարելավման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ճանապարհներից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օգտվող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գյուղացիական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տնտեսությունների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հեռավար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արոտների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մակերեսները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։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Oպտիկամանրաթելային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ցանցի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կապուղու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կառուցման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բարելավման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արդյունքում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ցանցից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օգտվող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բաժանորդների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այդ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քաղաքացիների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հանրային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օբյեկտների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կազմակերպությունների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։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Քաղաքացիական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պաշտպանության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ենթակառուցվածքների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ինչպես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ապաստարանների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կառուցման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նորոգման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հնարավոր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պաշտպանվող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պատսպարվող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բնակչության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թիվը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այլ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։</w:t>
            </w:r>
          </w:p>
        </w:tc>
      </w:tr>
      <w:tr w:rsidR="00847146" w:rsidRPr="00847146" w14:paraId="5229445E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B797BA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lastRenderedPageBreak/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ընթացքում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ստեղծվող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ժամանակավոր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հիմնական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աշխատատեղերի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քանակը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դրանց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նկարագրությունը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49C34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ընթացքում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ստեղծվող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ժամանակավոր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հիմնական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աշխատատեղերը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արդյունքում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նախատեսվող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հիմնական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աշխատատեղերը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այդ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մասնավոր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հատվածի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համայնքապետարանի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կողմից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նախատեսվող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հիմնական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աշխատատեղերի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քանակը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դրանց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նկարագրությունը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</w:p>
        </w:tc>
      </w:tr>
      <w:tr w:rsidR="00847146" w:rsidRPr="00847146" w14:paraId="570D914F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4309CF2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նախորդ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տարվա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բյուջեն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բյուջեի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կատարողականը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1BEBE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Նախորդ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տարվա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բյուջեն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` …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դրամ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.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նախորդ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տարվա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բյուջեն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ծախսերը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կատարողականը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`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առանձնացնելով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բյուջեի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վարչական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ֆոնդային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մասերը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իսկ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բյուջեի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ֆոնդային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մասից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ծախսերը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առանձին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բացվածքով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742"/>
              <w:gridCol w:w="1301"/>
              <w:gridCol w:w="817"/>
            </w:tblGrid>
            <w:tr w:rsidR="00847146" w:rsidRPr="00847146" w14:paraId="46A30D6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FF35CB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BFA47C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Պլանը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15E68F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Փաստացին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3B0105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Տոկոսը</w:t>
                  </w:r>
                  <w:proofErr w:type="spellEnd"/>
                </w:p>
              </w:tc>
            </w:tr>
            <w:tr w:rsidR="00847146" w:rsidRPr="00847146" w14:paraId="25438BF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473563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Ընդամենը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՝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համայնքի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եկամուտները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br/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այդ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թվում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D7FD8A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268A9A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9FE5E7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69654C8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5E1DD0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-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Վարչական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եկամուտներ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,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որից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AA712E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C4C987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741562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5C8CA8B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35E807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Սեփական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134097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A1B7FF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1C94FE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3369A0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316985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-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Ֆոնդային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A9E284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63BB90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1F8CCE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1CF7217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456DE6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lastRenderedPageBreak/>
                    <w:t>Ընդամենը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՝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համայնքի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ծախսեր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,</w:t>
                  </w:r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br/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որից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961015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F3D576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50F5EB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67A8D56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CCD8E8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Վարչական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AA18F9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8CB006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49860F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513EA4B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100B23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-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Ֆոնդային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88306F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B6C952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563511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37E63D6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40FA22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Համայնքի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ֆոնդային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փաստացի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ծախսերը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,</w:t>
                  </w:r>
                  <w:r w:rsidRPr="00847146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2"/>
                      <w:lang w:val="en-US"/>
                    </w:rPr>
                    <w:t> 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որից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C8D068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EFE88B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B8F045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052BE9E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CDF342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F9DADA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4DE006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97FF59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49EEE04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B809A0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55EB09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267CAF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89FE54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6F92F86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1EDA7C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փողոցային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B0A6F4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01CBA9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EEF753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74893E2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506BAB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3F80D2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3DE250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1FF1BA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7894808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22CA0B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ADDA57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9E2D58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3E7ED6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66DD794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12A782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B11BF1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89ADD0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DDE66C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</w:tbl>
          <w:p w14:paraId="5981790B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</w:p>
        </w:tc>
      </w:tr>
      <w:tr w:rsidR="00847146" w:rsidRPr="00847146" w14:paraId="5A33DAF3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E8C5645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lastRenderedPageBreak/>
              <w:t>Համայնքի</w:t>
            </w:r>
            <w:proofErr w:type="spellEnd"/>
            <w:r w:rsidRPr="00847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en-US"/>
              </w:rPr>
              <w:t>ընթացիկ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en-US"/>
              </w:rPr>
              <w:t>տարվա</w:t>
            </w:r>
            <w:proofErr w:type="spellEnd"/>
            <w:r w:rsidRPr="00847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en-US"/>
              </w:rPr>
              <w:t>բյուջեն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D6755A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......</w:t>
            </w:r>
            <w:r w:rsidRPr="008471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դրամ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.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ընթացիկ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տարվա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կանխատեսվող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եկամուտները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պլանավորված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ծախսերը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`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առանձնացնելով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բյուջեի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վարչական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ֆոնդային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մասերը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իսկ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բյուջեի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ֆոնդային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մասից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պլանավորված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ծախսերը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առանձին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բացվածքով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3"/>
              <w:gridCol w:w="742"/>
            </w:tblGrid>
            <w:tr w:rsidR="00847146" w:rsidRPr="00847146" w14:paraId="0DDD97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60C0D5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D27BA1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Պլանը</w:t>
                  </w:r>
                  <w:proofErr w:type="spellEnd"/>
                </w:p>
              </w:tc>
            </w:tr>
            <w:tr w:rsidR="00847146" w:rsidRPr="00847146" w14:paraId="3A60EA3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0C8BD7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Ընդամենը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՝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համայնքի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եկամուտների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պլանավորում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br/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այդ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թվում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5D7BBD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167AEC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04F5D3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Վարչական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եկամուտներ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,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որից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5776F1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5703960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DCE686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սեփական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84642B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34860F5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9F13D6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Ֆոնդային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C8C04C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68D4E7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07F78B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Ընդամենը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՝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համայնքի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ծախսեր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,</w:t>
                  </w:r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br/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որից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B04F09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63F49D6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BA8FC6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Վարչական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2A831B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716C437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46E576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-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Ֆոնդային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DDBB6E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38A417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648078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Համայնքի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ֆոնդային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պլանավորված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ծախսերը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,</w:t>
                  </w:r>
                  <w:r w:rsidRPr="00847146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2"/>
                      <w:lang w:val="en-US"/>
                    </w:rPr>
                    <w:t> 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որից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A178CC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2A57CD7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37D06C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437E7A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06F0443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72EC9C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EBD8FE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5B7BCD4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75D7CF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E4F445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68BDAF7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7E6725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47CE30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2A2AC32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00A877" w14:textId="77777777" w:rsidR="00847146" w:rsidRPr="00847146" w:rsidRDefault="00847146" w:rsidP="00847146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4BC754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</w:tbl>
          <w:p w14:paraId="458D5648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</w:p>
        </w:tc>
      </w:tr>
      <w:tr w:rsidR="00847146" w:rsidRPr="00847146" w14:paraId="24E76A86" w14:textId="77777777" w:rsidTr="00847146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2639178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միջնաժամկետ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ծախսերի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05F5F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Հաստատված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միջնաժամկետ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ծախսերի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սուբվենցիոն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տարվա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բյուջեն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` …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դրամ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.</w:t>
            </w:r>
          </w:p>
        </w:tc>
      </w:tr>
      <w:tr w:rsidR="00847146" w:rsidRPr="00847146" w14:paraId="0E5FBBA2" w14:textId="77777777" w:rsidTr="0084714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E5432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0E0E0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Հաստատված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միջնաժամկետ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ծախսերի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սուբվենցիոն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տարվան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հաջորդող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տարվա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բյուջեն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` …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դրամ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.</w:t>
            </w:r>
          </w:p>
        </w:tc>
      </w:tr>
      <w:tr w:rsidR="00847146" w:rsidRPr="00847146" w14:paraId="5923017F" w14:textId="77777777" w:rsidTr="0084714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DE98E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5ACCC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տարվան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հաջորդող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տարվա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միջնաժամկետ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ծախսերի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նախատեսված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եկամուտները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ծախսերը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`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առանձնացնելով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բյուջեի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վարչական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ֆոնդային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իսկ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բյուջեի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ֆոնդային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lastRenderedPageBreak/>
              <w:t>մասից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նախատեսված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ծախսերը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առանձին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բացվածքով</w:t>
            </w:r>
            <w:proofErr w:type="spellEnd"/>
          </w:p>
        </w:tc>
      </w:tr>
      <w:tr w:rsidR="00847146" w:rsidRPr="00847146" w14:paraId="6568EF6A" w14:textId="77777777" w:rsidTr="0084714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D5ADA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3"/>
              <w:gridCol w:w="1541"/>
              <w:gridCol w:w="1541"/>
            </w:tblGrid>
            <w:tr w:rsidR="00847146" w:rsidRPr="00847146" w14:paraId="549413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931E62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01707D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Ծրագրի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իրականացման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տարի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4551EA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Ծրագրի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իրականացման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տարվան</w:t>
                  </w:r>
                  <w:proofErr w:type="spellEnd"/>
                </w:p>
                <w:p w14:paraId="4F644411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հաջորդող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տարի</w:t>
                  </w:r>
                  <w:proofErr w:type="spellEnd"/>
                </w:p>
              </w:tc>
            </w:tr>
            <w:tr w:rsidR="00847146" w:rsidRPr="00847146" w14:paraId="1659A38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C2881E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Ընդամենը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՝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համայնքի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եկամուտներ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՝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ըստ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հաստատված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միջնաժամկետ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ծախսերի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ծրագրի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,</w:t>
                  </w:r>
                </w:p>
                <w:p w14:paraId="74ECC54E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այդ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թվում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5A3C72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CDA5AD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4F78C72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E36F67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Վարչական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եկամուտներ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,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որից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357179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4F0B7F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4206527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7BF51C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Սեփական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770EE3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82DA88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0E9B816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97A9BB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Ֆոնդային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572B5F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27BD72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628FEEB7" w14:textId="77777777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C00EBA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Ընդամենը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՝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համայնքի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ծախսեր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,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ըստ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հաստատված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միջնաժամկետ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ծախսերի</w:t>
                  </w:r>
                  <w:proofErr w:type="spellEnd"/>
                </w:p>
                <w:p w14:paraId="2901EC42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ծրագրի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,</w:t>
                  </w: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  <w:proofErr w:type="spellStart"/>
                  <w:r w:rsidRPr="00847146">
                    <w:rPr>
                      <w:rFonts w:ascii="GHEA Grapalat" w:eastAsia="Times New Roman" w:hAnsi="GHEA Grapalat" w:cs="Arial Unicode"/>
                      <w:sz w:val="22"/>
                      <w:lang w:val="en-US"/>
                    </w:rPr>
                    <w:t>որից</w:t>
                  </w:r>
                  <w:proofErr w:type="spellEnd"/>
                  <w:r w:rsidRPr="00847146">
                    <w:rPr>
                      <w:rFonts w:ascii="GHEA Grapalat" w:eastAsia="Times New Roman" w:hAnsi="GHEA Grapalat" w:cs="Arial Unicode"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D16F07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9D2B3A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6C9BA3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C5C77C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Վարչական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82CB32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BA0D43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308E6CFC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E993E0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Ֆոնդային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ծախսեր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DABC57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77FF6A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3581DED4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F7DEEE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Համայնքի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ֆոնդային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բյուջեի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ծախսերը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՝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ըստ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հաստատված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միջնաժամկետ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ծախսերի</w:t>
                  </w:r>
                  <w:proofErr w:type="spellEnd"/>
                </w:p>
                <w:p w14:paraId="5A303311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ծրագրի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,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որից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23EE84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82018A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669B70B9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4E40BC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163E58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628BD6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21C02179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405D31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4427E5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BB6937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46AB6276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D0E52A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փողոցային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F45DAB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BA21B0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29A10EBE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ED2DA6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FCF88C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D7D207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448A8007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BF4B58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BA2AEA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0D1279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125FD6D6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5E5EBE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655C78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9918F9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2F940678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C18312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Ենթակառուցվածքների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զարգացմանն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ուղղված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սուբվենցիոն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ծրագրերի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համար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նախատեսված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ծախսերը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,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ըստ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հաստատված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միջնաժամկետ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ծախսերի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ծրագրի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,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այդ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թվում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՝</w:t>
                  </w:r>
                </w:p>
                <w:p w14:paraId="77CE0D45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/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ներկայացնել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սուբվենցիոն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ծրագրերի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համար</w:t>
                  </w:r>
                  <w:proofErr w:type="spellEnd"/>
                </w:p>
                <w:p w14:paraId="36E01811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համայնքի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ֆոնդային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բյուջեից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նախատեսված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գումարները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՝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ըստ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ոլորտների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/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08024A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4CC0FA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47177D7D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C906A7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112570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D5FB53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18A1A214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35F22F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ջրամատակարարում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/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ջրահեռացում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98E3BF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65D4CD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425E4AF1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D3986F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փողոցային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8B9285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80DAFF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2546BAFF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6DE561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գազամատակարարում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058E4F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313EE5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56D4F24E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80A061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lastRenderedPageBreak/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նախադպրոցական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հաստատություններ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95779D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1A9BB9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30EA3D91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607BF8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հասարակական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շենքեր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80A693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8301D7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5991D82C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48C0D0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գույքի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,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տեխնիկայի</w:t>
                  </w:r>
                  <w:proofErr w:type="spellEnd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ձեռքբերում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19BCEF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7200B4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847146" w:rsidRPr="00847146" w14:paraId="2EB60539" w14:textId="77777777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1F0792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7241FC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5A2123" w14:textId="77777777" w:rsidR="00847146" w:rsidRPr="00847146" w:rsidRDefault="00847146" w:rsidP="00847146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47146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</w:tbl>
          <w:p w14:paraId="17F321EB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</w:p>
        </w:tc>
      </w:tr>
      <w:tr w:rsidR="00847146" w:rsidRPr="00847146" w14:paraId="5751EF51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B59472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lastRenderedPageBreak/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տարվա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միջնաժամկետ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ծախսերի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նախատեսված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բյուջետային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մուտքերի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ներառյալ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ֆինանսական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հարթեցման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դոտացիայի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գծով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նախատեսված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մուտքերը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)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հաշվին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նշված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անհնարինության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հիմնավորումը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հաշվարկ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ներով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C9236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</w:tr>
      <w:tr w:rsidR="00847146" w:rsidRPr="00847146" w14:paraId="6BFCD6D3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D56DE20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ընդհանուր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բյուջեն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այդ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թվում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՝</w:t>
            </w:r>
          </w:p>
          <w:p w14:paraId="08945A74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շինարարական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օբյեկտների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նախագծման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արժեքը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_________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դրամ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,</w:t>
            </w:r>
          </w:p>
          <w:p w14:paraId="3E5ECC1D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նախագծանախահաշվային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փաստաթղթերի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պետական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փորձաքննության</w:t>
            </w:r>
            <w:proofErr w:type="spellEnd"/>
            <w:r w:rsidRPr="0084714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en-US"/>
              </w:rPr>
              <w:t>ծառայության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en-US"/>
              </w:rPr>
              <w:t>արժեքը</w:t>
            </w:r>
            <w:proofErr w:type="spellEnd"/>
            <w:r w:rsidRPr="00847146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en-US"/>
              </w:rPr>
              <w:t>՝</w:t>
            </w:r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_________ </w:t>
            </w:r>
            <w:proofErr w:type="spellStart"/>
            <w:r w:rsidRPr="00847146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en-US"/>
              </w:rPr>
              <w:t>դրամ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,</w:t>
            </w:r>
          </w:p>
          <w:p w14:paraId="55C9424F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տեխնիկական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հսկողության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ծառայությունների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արժեքը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՝ _________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դրամ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,</w:t>
            </w:r>
          </w:p>
          <w:p w14:paraId="2501BF5F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հեղինակային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հսկողության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ծառայությունների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արժեքը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՝ _________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դրամ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,</w:t>
            </w:r>
          </w:p>
          <w:p w14:paraId="4F175DDA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-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գոյություն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ունեցող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շենք-շինությունների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տեխնիկական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վիճակի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վերաբերյալ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փորձաքննության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ծառայության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արժեքը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՝ _________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դրամ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,</w:t>
            </w:r>
          </w:p>
          <w:p w14:paraId="4E7852D4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ինժեներաերկրաբանական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հետազոտության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lastRenderedPageBreak/>
              <w:t>ծառայության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արժեքը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՝ ————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դրամ</w:t>
            </w:r>
            <w:proofErr w:type="spellEnd"/>
          </w:p>
          <w:p w14:paraId="790E78A9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ինչպես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առանձին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հասարակական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շենքերի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բազմաբնակարան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շենքերի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ընդհանուր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օգտագործման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գույքի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կառուցման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/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նորոգման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էներգախնայողության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միջոցառումների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արժեքը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_________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դրամ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7EFF1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lastRenderedPageBreak/>
              <w:t xml:space="preserve">....................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դրամ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(100%)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Մինչև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ընթացիկ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տարվա</w:t>
            </w:r>
            <w:proofErr w:type="spellEnd"/>
            <w:r w:rsidRPr="0084714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վերջ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չավարտվող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ծրագրերի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՝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հստակ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առանձնացնել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ընթացիկ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տարվա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ընթացքում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նախատեսվող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աշխատանքներն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ու</w:t>
            </w:r>
            <w:proofErr w:type="spellEnd"/>
            <w:r w:rsidRPr="0084714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ծախսերը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և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հաջորդ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տարվա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աշխատանքներն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ու</w:t>
            </w:r>
            <w:proofErr w:type="spellEnd"/>
            <w:r w:rsidRPr="00847146">
              <w:rPr>
                <w:rFonts w:ascii="Calibri" w:eastAsia="Times New Roman" w:hAnsi="Calibri" w:cs="Calibri"/>
                <w:i/>
                <w:iCs/>
                <w:color w:val="000000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Arial Unicode"/>
                <w:i/>
                <w:iCs/>
                <w:color w:val="000000"/>
                <w:sz w:val="22"/>
                <w:lang w:val="en-US"/>
              </w:rPr>
              <w:t>ծախսեր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ը</w:t>
            </w:r>
            <w:proofErr w:type="spellEnd"/>
          </w:p>
        </w:tc>
      </w:tr>
      <w:tr w:rsidR="00847146" w:rsidRPr="00847146" w14:paraId="14235137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DCA5A88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կողմից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ներդրվող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մասնաբաժնի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չափը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FF33E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...............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դրամ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(</w:t>
            </w:r>
            <w:proofErr w:type="gram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....</w:t>
            </w:r>
            <w:r w:rsidRPr="00847146">
              <w:rPr>
                <w:rFonts w:ascii="Cambria Math" w:eastAsia="Times New Roman" w:hAnsi="Cambria Math" w:cs="Cambria Math"/>
                <w:i/>
                <w:iCs/>
                <w:color w:val="000000"/>
                <w:sz w:val="22"/>
                <w:lang w:val="en-US"/>
              </w:rPr>
              <w:t>․</w:t>
            </w:r>
            <w:proofErr w:type="gram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%)</w:t>
            </w:r>
          </w:p>
        </w:tc>
      </w:tr>
      <w:tr w:rsidR="00847146" w:rsidRPr="00847146" w14:paraId="415CA5A7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9EF6D98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Այլ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ներդրողներ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C260D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..........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դրամ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gram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( ...</w:t>
            </w:r>
            <w:proofErr w:type="gram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. %),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ներդրողի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անունը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</w:p>
        </w:tc>
      </w:tr>
      <w:tr w:rsidR="00847146" w:rsidRPr="00847146" w14:paraId="028B1E6D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A4BC4D9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տևողությունը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B6FC1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Սկիզբը________________20...թ.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Տևողությունը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__________</w:t>
            </w:r>
          </w:p>
        </w:tc>
      </w:tr>
      <w:tr w:rsidR="00847146" w:rsidRPr="00847146" w14:paraId="00424E2D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E1AF0E0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ծախսերը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77A79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Մանրամասն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ծախսերը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`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կցելով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ՀՀ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օրենսդրությամբ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սահմանված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կարգով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նախագծանախահաշվային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փաստաթղթերը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Ծրագրով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նախատեսվող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ծախսերը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պետք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լինեն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իրատեսական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ֆինանսական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հաշվարկները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նախահաշիվները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`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հնարավորինս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հստակ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հիմնավոր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մանրամասն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Սարք-սարքավորումների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ձեռքբերման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հնարավորինս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հստակ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հիմնավոր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մանրամասն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տեխնիկական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բնութագրերը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ֆինանսական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գնահատականները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առնվազն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երեք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կազմակերպությունների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կողմից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տրված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գնահարցումները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</w:p>
        </w:tc>
      </w:tr>
      <w:tr w:rsidR="00847146" w:rsidRPr="00847146" w14:paraId="63E1BFF9" w14:textId="77777777" w:rsidTr="00847146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ABDBC23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74F81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____ ___________20…թ.</w:t>
            </w:r>
          </w:p>
        </w:tc>
      </w:tr>
    </w:tbl>
    <w:p w14:paraId="668EA648" w14:textId="77777777" w:rsidR="00847146" w:rsidRPr="00847146" w:rsidRDefault="00847146" w:rsidP="00847146">
      <w:pPr>
        <w:shd w:val="clear" w:color="auto" w:fill="FFFFFF"/>
        <w:spacing w:before="100" w:beforeAutospacing="1" w:after="100" w:afterAutospacing="1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Calibri" w:eastAsia="Times New Roman" w:hAnsi="Calibri" w:cs="Calibri"/>
          <w:color w:val="000000"/>
          <w:sz w:val="22"/>
          <w:lang w:val="en-US"/>
        </w:rPr>
        <w:t> </w:t>
      </w:r>
    </w:p>
    <w:p w14:paraId="098E1331" w14:textId="77777777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Calibri" w:eastAsia="Times New Roman" w:hAnsi="Calibri" w:cs="Calibri"/>
          <w:color w:val="000000"/>
          <w:sz w:val="22"/>
          <w:lang w:val="en-US"/>
        </w:rPr>
        <w:t> 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Այլ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տեղեկություններ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մասին</w:t>
      </w:r>
      <w:proofErr w:type="spellEnd"/>
      <w:r w:rsidRPr="00847146">
        <w:rPr>
          <w:rFonts w:ascii="Calibri" w:eastAsia="Times New Roman" w:hAnsi="Calibri" w:cs="Calibri"/>
          <w:b/>
          <w:bCs/>
          <w:color w:val="000000"/>
          <w:sz w:val="22"/>
          <w:lang w:val="en-US"/>
        </w:rPr>
        <w:t> </w:t>
      </w: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(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նշել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լրացուցիչ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հանգամանքները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որոնք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ցույց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կարևորությունը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ակնկալվող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արդյունքների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ազդեցությունը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տարածաշրջանի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զարգացման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վրա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այլ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հանգամանքներ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որոնք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կարող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են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հաշվի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առնվել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ծրագիրը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գնահատելու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ընթացքում</w:t>
      </w:r>
      <w:proofErr w:type="spellEnd"/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):</w:t>
      </w:r>
    </w:p>
    <w:p w14:paraId="2A82FC05" w14:textId="77777777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Calibri" w:eastAsia="Times New Roman" w:hAnsi="Calibri" w:cs="Calibri"/>
          <w:color w:val="000000"/>
          <w:sz w:val="22"/>
          <w:lang w:val="en-US"/>
        </w:rPr>
        <w:t> </w:t>
      </w:r>
    </w:p>
    <w:p w14:paraId="7E0B0EA6" w14:textId="77777777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Համայնքի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տնտեսական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պատասխանատու</w:t>
      </w:r>
      <w:proofErr w:type="spellEnd"/>
    </w:p>
    <w:p w14:paraId="093DF769" w14:textId="77777777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Հեռախոսահամարը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էլեկտրոնային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փոստը</w:t>
      </w:r>
      <w:proofErr w:type="spellEnd"/>
    </w:p>
    <w:p w14:paraId="2949296C" w14:textId="77777777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Calibri" w:eastAsia="Times New Roman" w:hAnsi="Calibri" w:cs="Calibri"/>
          <w:color w:val="000000"/>
          <w:sz w:val="22"/>
          <w:lang w:val="en-US"/>
        </w:rPr>
        <w:t> </w:t>
      </w:r>
    </w:p>
    <w:p w14:paraId="76C6E980" w14:textId="77777777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GHEA Grapalat" w:eastAsia="Times New Roman" w:hAnsi="GHEA Grapalat" w:cs="Times New Roman"/>
          <w:color w:val="000000"/>
          <w:sz w:val="22"/>
          <w:lang w:val="en-US"/>
        </w:rPr>
        <w:t>_____________________________________________________________________________</w:t>
      </w:r>
    </w:p>
    <w:p w14:paraId="47F8C877" w14:textId="77777777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Calibri" w:eastAsia="Times New Roman" w:hAnsi="Calibri" w:cs="Calibri"/>
          <w:color w:val="000000"/>
          <w:sz w:val="22"/>
          <w:lang w:val="en-U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5194"/>
      </w:tblGrid>
      <w:tr w:rsidR="00847146" w:rsidRPr="00847146" w14:paraId="5134AF81" w14:textId="77777777" w:rsidTr="00847146">
        <w:trPr>
          <w:tblCellSpacing w:w="7" w:type="dxa"/>
          <w:jc w:val="center"/>
        </w:trPr>
        <w:tc>
          <w:tcPr>
            <w:tcW w:w="0" w:type="auto"/>
            <w:hideMark/>
          </w:tcPr>
          <w:p w14:paraId="2E2F458A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sz w:val="22"/>
                <w:lang w:val="en-US"/>
              </w:rPr>
            </w:pPr>
            <w:r w:rsidRPr="00847146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ղեկավար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8B7D79" w14:textId="77777777" w:rsidR="00847146" w:rsidRPr="00847146" w:rsidRDefault="00847146" w:rsidP="00847146">
            <w:pPr>
              <w:spacing w:after="0"/>
              <w:jc w:val="center"/>
              <w:rPr>
                <w:rFonts w:ascii="GHEA Grapalat" w:eastAsia="Times New Roman" w:hAnsi="GHEA Grapalat" w:cs="Times New Roman"/>
                <w:sz w:val="22"/>
                <w:lang w:val="en-US"/>
              </w:rPr>
            </w:pPr>
            <w:r w:rsidRPr="00847146">
              <w:rPr>
                <w:rFonts w:ascii="Calibri" w:eastAsia="Times New Roman" w:hAnsi="Calibri" w:cs="Calibri"/>
                <w:sz w:val="22"/>
                <w:lang w:val="en-US"/>
              </w:rPr>
              <w:t> </w:t>
            </w:r>
            <w:r w:rsidRPr="00847146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______________________</w:t>
            </w:r>
          </w:p>
          <w:p w14:paraId="10596998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sz w:val="22"/>
                <w:lang w:val="en-US"/>
              </w:rPr>
              <w:t>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sz w:val="22"/>
                <w:lang w:val="en-US"/>
              </w:rPr>
              <w:t>անունը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sz w:val="22"/>
                <w:lang w:val="en-US"/>
              </w:rPr>
              <w:t>ազգանունը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sz w:val="22"/>
                <w:lang w:val="en-US"/>
              </w:rPr>
              <w:t>)</w:t>
            </w:r>
          </w:p>
        </w:tc>
      </w:tr>
    </w:tbl>
    <w:p w14:paraId="6D3DC60C" w14:textId="77777777" w:rsidR="00847146" w:rsidRPr="00847146" w:rsidRDefault="00847146" w:rsidP="00847146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Calibri" w:eastAsia="Times New Roman" w:hAnsi="Calibri" w:cs="Calibri"/>
          <w:color w:val="000000"/>
          <w:sz w:val="22"/>
          <w:lang w:val="en-US"/>
        </w:rPr>
        <w:t> </w:t>
      </w:r>
    </w:p>
    <w:p w14:paraId="75E3A08F" w14:textId="77777777" w:rsidR="00847146" w:rsidRPr="00847146" w:rsidRDefault="00847146" w:rsidP="00847146">
      <w:pPr>
        <w:shd w:val="clear" w:color="auto" w:fill="FFFFFF"/>
        <w:spacing w:before="100" w:beforeAutospacing="1" w:after="100" w:afterAutospacing="1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GHEA Grapalat" w:eastAsia="Times New Roman" w:hAnsi="GHEA Grapalat" w:cs="Times New Roman"/>
          <w:i/>
          <w:iCs/>
          <w:color w:val="000000"/>
          <w:sz w:val="22"/>
          <w:lang w:val="en-US"/>
        </w:rPr>
        <w:t>Կ. Տ</w:t>
      </w:r>
    </w:p>
    <w:p w14:paraId="7B7B9A51" w14:textId="77777777" w:rsidR="00847146" w:rsidRDefault="00847146" w:rsidP="00847146">
      <w:pPr>
        <w:shd w:val="clear" w:color="auto" w:fill="FFFFFF"/>
        <w:spacing w:after="0"/>
        <w:ind w:firstLine="375"/>
        <w:rPr>
          <w:rFonts w:ascii="Calibri" w:eastAsia="Times New Roman" w:hAnsi="Calibri" w:cs="Calibri"/>
          <w:color w:val="000000"/>
          <w:sz w:val="22"/>
          <w:lang w:val="en-US"/>
        </w:rPr>
      </w:pPr>
    </w:p>
    <w:p w14:paraId="4AEB7F94" w14:textId="77777777" w:rsidR="00847146" w:rsidRDefault="00847146" w:rsidP="00847146">
      <w:pPr>
        <w:shd w:val="clear" w:color="auto" w:fill="FFFFFF"/>
        <w:spacing w:after="0"/>
        <w:ind w:firstLine="375"/>
        <w:rPr>
          <w:rFonts w:ascii="Calibri" w:eastAsia="Times New Roman" w:hAnsi="Calibri" w:cs="Calibri"/>
          <w:color w:val="000000"/>
          <w:sz w:val="22"/>
          <w:lang w:val="en-US"/>
        </w:rPr>
      </w:pPr>
    </w:p>
    <w:p w14:paraId="19A87875" w14:textId="77777777" w:rsidR="00847146" w:rsidRDefault="00847146" w:rsidP="00847146">
      <w:pPr>
        <w:shd w:val="clear" w:color="auto" w:fill="FFFFFF"/>
        <w:spacing w:after="0"/>
        <w:ind w:firstLine="375"/>
        <w:rPr>
          <w:rFonts w:ascii="Calibri" w:eastAsia="Times New Roman" w:hAnsi="Calibri" w:cs="Calibri"/>
          <w:color w:val="000000"/>
          <w:sz w:val="22"/>
          <w:lang w:val="en-US"/>
        </w:rPr>
      </w:pPr>
    </w:p>
    <w:p w14:paraId="0E5CCFF4" w14:textId="4D06085C" w:rsidR="00847146" w:rsidRPr="00847146" w:rsidRDefault="00847146" w:rsidP="00847146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Calibri" w:eastAsia="Times New Roman" w:hAnsi="Calibri" w:cs="Calibri"/>
          <w:color w:val="000000"/>
          <w:sz w:val="22"/>
          <w:lang w:val="en-US"/>
        </w:rPr>
        <w:lastRenderedPageBreak/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9"/>
        <w:gridCol w:w="4521"/>
      </w:tblGrid>
      <w:tr w:rsidR="00847146" w:rsidRPr="00847146" w14:paraId="2E57C9E2" w14:textId="77777777" w:rsidTr="0084714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A289ED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14:paraId="0B920B1D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/>
              </w:rPr>
              <w:t>Հավելված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N 4</w:t>
            </w:r>
          </w:p>
          <w:p w14:paraId="7CC10BFB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ՀՀ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/>
              </w:rPr>
              <w:t>կառավարության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2006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/>
              </w:rPr>
              <w:t>թվականի</w:t>
            </w:r>
            <w:proofErr w:type="spellEnd"/>
          </w:p>
          <w:p w14:paraId="14F5A215" w14:textId="77777777" w:rsidR="00847146" w:rsidRPr="00847146" w:rsidRDefault="00847146" w:rsidP="00847146">
            <w:pPr>
              <w:spacing w:after="0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/>
              </w:rPr>
              <w:t>նոյեմբերի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16-ի N 1708-Ն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en-US"/>
              </w:rPr>
              <w:t>որոշման</w:t>
            </w:r>
            <w:proofErr w:type="spellEnd"/>
          </w:p>
        </w:tc>
      </w:tr>
    </w:tbl>
    <w:p w14:paraId="78E8BD2A" w14:textId="77777777" w:rsidR="00847146" w:rsidRPr="00847146" w:rsidRDefault="00847146" w:rsidP="00847146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16"/>
          <w:szCs w:val="16"/>
          <w:lang w:val="en-US"/>
        </w:rPr>
      </w:pPr>
      <w:r w:rsidRPr="00847146">
        <w:rPr>
          <w:rFonts w:ascii="Calibri" w:eastAsia="Times New Roman" w:hAnsi="Calibri" w:cs="Calibri"/>
          <w:color w:val="000000"/>
          <w:sz w:val="16"/>
          <w:szCs w:val="16"/>
          <w:lang w:val="en-US"/>
        </w:rPr>
        <w:t> </w:t>
      </w:r>
    </w:p>
    <w:p w14:paraId="13ADDAD6" w14:textId="77777777" w:rsidR="00847146" w:rsidRPr="00847146" w:rsidRDefault="00847146" w:rsidP="00847146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Հայաստանի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Հանրապետության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համայնքների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տնտեսական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սոցիալական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ենթակառուցվածքների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զարգացմանն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ուղղված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սուբվենցիաների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տրամադրման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գործընթացում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միջգերատեսչական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հանձնաժողովի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կողմից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հավանության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արժանացած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ծրագրերի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իրականացման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հսկողության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,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մշտադիտարկման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և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ավարտի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փաստագրման</w:t>
      </w:r>
      <w:proofErr w:type="spellEnd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847146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ձև</w:t>
      </w:r>
      <w:proofErr w:type="spellEnd"/>
    </w:p>
    <w:p w14:paraId="16E004CA" w14:textId="77777777" w:rsidR="00847146" w:rsidRPr="00847146" w:rsidRDefault="00847146" w:rsidP="00847146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Calibri" w:eastAsia="Times New Roman" w:hAnsi="Calibri" w:cs="Calibri"/>
          <w:color w:val="000000"/>
          <w:sz w:val="22"/>
          <w:lang w:val="en-US"/>
        </w:rPr>
        <w:t> </w:t>
      </w:r>
    </w:p>
    <w:p w14:paraId="2B247673" w14:textId="77777777" w:rsidR="00847146" w:rsidRPr="00847146" w:rsidRDefault="00847146" w:rsidP="00847146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847146">
        <w:rPr>
          <w:rFonts w:ascii="Calibri" w:eastAsia="Times New Roman" w:hAnsi="Calibri" w:cs="Calibri"/>
          <w:color w:val="000000"/>
          <w:sz w:val="22"/>
          <w:lang w:val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4785"/>
        <w:gridCol w:w="4623"/>
      </w:tblGrid>
      <w:tr w:rsidR="00847146" w:rsidRPr="00847146" w14:paraId="1AAFC0B4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E0F50B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NN</w:t>
            </w:r>
          </w:p>
          <w:p w14:paraId="4125639D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B55DA" w14:textId="77777777" w:rsidR="00847146" w:rsidRPr="00847146" w:rsidRDefault="00847146" w:rsidP="00847146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Գործողությունը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96189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Arial Unicode"/>
                <w:color w:val="000000"/>
                <w:sz w:val="22"/>
                <w:lang w:val="en-US"/>
              </w:rPr>
              <w:t>Մշտադիտարկումը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r w:rsidRPr="00847146">
              <w:rPr>
                <w:rFonts w:ascii="GHEA Grapalat" w:eastAsia="Times New Roman" w:hAnsi="GHEA Grapalat" w:cs="Arial Unicode"/>
                <w:color w:val="000000"/>
                <w:sz w:val="22"/>
                <w:lang w:val="en-US"/>
              </w:rPr>
              <w:t>և</w:t>
            </w: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color w:val="000000"/>
                <w:sz w:val="22"/>
                <w:lang w:val="en-US"/>
              </w:rPr>
              <w:t>գնահատում</w:t>
            </w: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</w:t>
            </w:r>
            <w:proofErr w:type="spellEnd"/>
          </w:p>
        </w:tc>
      </w:tr>
      <w:tr w:rsidR="00847146" w:rsidRPr="00847146" w14:paraId="227CF95C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07DA6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1355A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կողմից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«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Գնումների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» ՀՀ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օրենքով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սահմանված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կարգով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կապալառուի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ընտրության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մրցույթի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հրավեր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։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Հրավերի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տեքստը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տպագրված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հայտարարությունը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894B0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  <w:proofErr w:type="spellStart"/>
            <w:r w:rsidRPr="00847146">
              <w:rPr>
                <w:rFonts w:ascii="GHEA Grapalat" w:eastAsia="Times New Roman" w:hAnsi="GHEA Grapalat" w:cs="Arial Unicode"/>
                <w:color w:val="000000"/>
                <w:sz w:val="22"/>
                <w:lang w:val="en-US"/>
              </w:rPr>
              <w:t>Մրցույթի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color w:val="000000"/>
                <w:sz w:val="22"/>
                <w:lang w:val="en-US"/>
              </w:rPr>
              <w:t>վերաբերյալ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color w:val="000000"/>
                <w:sz w:val="22"/>
                <w:lang w:val="en-US"/>
              </w:rPr>
              <w:t>տեղեկատվության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color w:val="000000"/>
                <w:sz w:val="22"/>
                <w:lang w:val="en-US"/>
              </w:rPr>
              <w:t>գրանցումը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r w:rsidRPr="00847146">
              <w:rPr>
                <w:rFonts w:ascii="GHEA Grapalat" w:eastAsia="Times New Roman" w:hAnsi="GHEA Grapalat" w:cs="Arial Unicode"/>
                <w:color w:val="000000"/>
                <w:sz w:val="22"/>
                <w:lang w:val="en-US"/>
              </w:rPr>
              <w:t>և</w:t>
            </w: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color w:val="000000"/>
                <w:sz w:val="22"/>
                <w:lang w:val="en-US"/>
              </w:rPr>
              <w:t>մշտադիտարկումն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Arial Unicode"/>
                <w:color w:val="000000"/>
                <w:sz w:val="22"/>
                <w:lang w:val="en-US"/>
              </w:rPr>
              <w:t>իր</w:t>
            </w: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ականացվում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կողմից</w:t>
            </w:r>
            <w:proofErr w:type="spellEnd"/>
          </w:p>
        </w:tc>
      </w:tr>
      <w:tr w:rsidR="00847146" w:rsidRPr="00847146" w14:paraId="4FC8EC64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6F499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25193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կողմից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գնումների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արդյունքներն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ամփոփող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նիստերի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արձանագրությունը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02C86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Արձանագրությունների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գրանցումը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մշտադիտարկումն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կողմից</w:t>
            </w:r>
            <w:proofErr w:type="spellEnd"/>
          </w:p>
        </w:tc>
      </w:tr>
      <w:tr w:rsidR="00847146" w:rsidRPr="00847146" w14:paraId="43283F87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1AA38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C03C8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ՀՀ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կառավարության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2017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թվականի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մայիսի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4-ի N 526-Ն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որոշմամբ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հաստատված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գնումների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գործընթացի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կազմակերպման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կարգի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դրույթների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համաձայն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hամայնքի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կողմից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կապալառուի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մատակարարի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պայմանագրի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կնքում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պայմանագրի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պատճենի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79D68A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իրականացնում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յուրաքանչյուր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սուբվենցիոն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կապալառուի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մատակարարի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միջև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կնքված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պայմանագրերի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հավաքագրում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մշտադիտարկում</w:t>
            </w:r>
            <w:proofErr w:type="spellEnd"/>
          </w:p>
        </w:tc>
      </w:tr>
      <w:tr w:rsidR="00847146" w:rsidRPr="00847146" w14:paraId="01318877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9FE3F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BBFC8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Յուրաքանչյուր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սուբվենցիոն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նախագծող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ընկերության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աշխատանքներն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կապալառուի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մատակարարի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ինչպես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տեխնիկական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հսկողություն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լիցենզավորված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կազմակերպության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տվյալների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հավաքագրում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կողմից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93019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իրականացնում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կապալառուի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տեխնիկական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հսկողություն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կազմակերպությունների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կնքված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պայմանագրերի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կատարման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մշտադիտարկում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հավաքագրված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տվյալների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հիման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վրա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ստեղծում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տեղեկատվական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բազա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կապալառուի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տվյալների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պայմանագրի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կնքման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ամսաթվի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պայմանագրով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սահմանված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աշխատանքների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կատարման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ժամկետների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ինչպես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տեխնիկական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հսկողություն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լիցենզավորված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կազմակերպության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տվյալների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վերաբերյալ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ներկայացնում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ՀՀ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տարածքային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կառավարման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ենթակառուցվածքների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նախարարություն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այսուհետ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նախարարություն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):</w:t>
            </w:r>
          </w:p>
          <w:p w14:paraId="01F72420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Նախարարությունը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ամփոփում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տեղեկատվությունը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ըստ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անհրաժեշտության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ներկայացնում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շահագրգիռ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մարմիններին</w:t>
            </w:r>
            <w:proofErr w:type="spellEnd"/>
          </w:p>
        </w:tc>
      </w:tr>
      <w:tr w:rsidR="00847146" w:rsidRPr="00847146" w14:paraId="74D9A64D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CF07B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B298CF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համայնքում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սուբվենցիայի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պատասխանատու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ստորաբաժանման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սահմանում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ներգրավելով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մասնագետին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D2D25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Յուրաքանչյուր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կատարողականի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ակտի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ընդունում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պատասխանատու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ստորաբաժանման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կողմից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փաստաթղթերի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</w:t>
            </w:r>
            <w:proofErr w:type="spellEnd"/>
          </w:p>
        </w:tc>
      </w:tr>
      <w:tr w:rsidR="00847146" w:rsidRPr="00847146" w14:paraId="62273D2E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DCB36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9BE8B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հանձնարարականով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ստեղծվում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ոլորտային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մասնագետներից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բաղկացած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մշտադիտարկման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աշխատանքային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խումբ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: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Վերջինիս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կողմից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սուբվենցիայի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ծրագրերով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կատարվող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աշխատանքների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ընթացքի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որակի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ուսումնասիրության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այցելություններ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ամիսը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2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անգամ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յուրաքանչյուր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FB1DD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Բոլոր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ընթացքի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վերաբերյալ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տեղեկատվության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լուսանկարների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նախարարություն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ամիսը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երկու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անգամ</w:t>
            </w:r>
            <w:proofErr w:type="spellEnd"/>
          </w:p>
        </w:tc>
      </w:tr>
      <w:tr w:rsidR="00847146" w:rsidRPr="00847146" w14:paraId="049A70DD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2FC02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A9A96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Նախարարության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ոլորտային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մասնագետների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ոլորտային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գերատեսչությունների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մասնագետների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համաձայնությամբ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),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ինչպես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ՀՀ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քաղաքաշինության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տեխնիկական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հրդեհային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անվտանգության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տեսչական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մարմնի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բաժինների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մասնագետների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համաձայնությամբ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)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կողմից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որակի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ժամկետների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վերահսկողության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այցելություններ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95FBC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տեղեկանքների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արձանագրությունների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նախարարություն</w:t>
            </w:r>
            <w:proofErr w:type="spellEnd"/>
          </w:p>
        </w:tc>
      </w:tr>
      <w:tr w:rsidR="00847146" w:rsidRPr="00847146" w14:paraId="29FAC5B8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E87F4A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80BC7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աշխատանքների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ընթացքի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որակի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համապատասխանելիության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այցելությունների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ընթացքում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թերությունների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բացահայտման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այցելություն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կատարող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մասնագետների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կողմից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միջնորդագիր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լրացուցիչ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փորձարկումների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հետազննությունների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կատարման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անհրաժեշտության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վերաբերյալ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։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առաջարկում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ղեկավարին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որպեսզի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կապալառուն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անհրաժեշտ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տեխնիկական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հետազոտություններն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փորձարկումներն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միջոցների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հաշվին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(ՀՀ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կառավարության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2015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թվականի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մարտի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19-ի N 596-Ն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որոշման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դրույթների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համաձայն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8BF97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տեղեկանքների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փորձարկումների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հետազննությունների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նախարարություն</w:t>
            </w:r>
            <w:proofErr w:type="spellEnd"/>
          </w:p>
        </w:tc>
      </w:tr>
      <w:tr w:rsidR="00847146" w:rsidRPr="00847146" w14:paraId="4B88B4F0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FF0B9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2AA9F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Լրացուցիչ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փորձարկումների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85F32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Անհրաժեշտության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նախարարությունը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դիմում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մասնագիտացված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կառույցներին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լրացուցիչ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հետազննություններ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փորձարկումներ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իրականացնելու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համար</w:t>
            </w:r>
            <w:proofErr w:type="spellEnd"/>
          </w:p>
        </w:tc>
      </w:tr>
      <w:tr w:rsidR="00847146" w:rsidRPr="00847146" w14:paraId="2CA12211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248BB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D1D34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Սուբվենցիոն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շինարարական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աշխատանքների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կատարողական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ակտերի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կազմում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6239D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ՀՀ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կառավարության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2015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թվականի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մարտի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19-ի N 596-Ն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որոշման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դրույթների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համաձայն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կատարողական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ակտերը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կազմվում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կապալառուի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տեխնիկական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հսկողություն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անձի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կողմից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ղեկավարին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hամայնքի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ղեկավարն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ներկայացնում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շինարարական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աշխատանքներն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ընդունող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հանձնաժողովին</w:t>
            </w:r>
            <w:proofErr w:type="spellEnd"/>
          </w:p>
        </w:tc>
      </w:tr>
      <w:tr w:rsidR="00847146" w:rsidRPr="00847146" w14:paraId="51E656C1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4AC76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8ECE2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Սուբվենցիոն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մեքենասարքավորումների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գույքի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ձեռքբերման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դրանց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փորձարկում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ընդունման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ակտի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կազմում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44E8C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կողմից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մատակարարի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մասնակցությամբ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մեքենասարքավորումների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գույքի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փորձարկում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ընդունում</w:t>
            </w:r>
            <w:proofErr w:type="spellEnd"/>
          </w:p>
        </w:tc>
      </w:tr>
      <w:tr w:rsidR="00847146" w:rsidRPr="00847146" w14:paraId="4D062D02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B1ABC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D5200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Սուբվնեցիայի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շինարարական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աշխատանքների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ընդունող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հանձնաժողովի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ստեղծում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F8A36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Ընդունող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հանձնաժողովի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կազմում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ներգրավվում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կառուցապատողի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կապալառուի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տեխնիկական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հսկողություն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օրենքով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պայմանագրով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նախատեսված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դեպքերում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`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հեղինակային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հսկողություն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անձինք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ՀՀ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քաղաքաշինության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տեխնիկական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հրդեհային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անվտանգության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տեսչական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մարմնի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տարածքային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բաժնի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ներկայացուցիչը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ինչպես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օրենքով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վերահսկողական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իրավասություններով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օժտված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շահագրգիռ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պետական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մարմինների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իրավասու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մարմնի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ներկայացուցիչները</w:t>
            </w:r>
            <w:proofErr w:type="spellEnd"/>
          </w:p>
        </w:tc>
      </w:tr>
      <w:tr w:rsidR="00847146" w:rsidRPr="00847146" w14:paraId="697D30A8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F97514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D4173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Կատարողական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փաստաթղթերը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ակտերը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)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շինարարության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վարման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մատյանն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ընդունող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հանձնաժողովի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անդամները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ըստ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անհրաժեշտության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կարող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ուսումնասիրել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դրանք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պահանջելով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կառուցապատողից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: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Կատարողական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փաստաթղթերի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դրանց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բացակայության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դեպքում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կապալառուն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պարտավոր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միջոցների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հաշվին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վերականգնել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դրանք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`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անհրաժեշտ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տեխնիկական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հետազոտություններ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փորձարկումներ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կատարելու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միջոցով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94DA09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տեղեկանքները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արձանագրությունները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ինչպես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յուրաքանչյուր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կապալառուի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մատակարարի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միջև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կնքված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պայմանագրերը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ներկայացնում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նախարարություն</w:t>
            </w:r>
            <w:proofErr w:type="spellEnd"/>
          </w:p>
        </w:tc>
      </w:tr>
      <w:tr w:rsidR="00847146" w:rsidRPr="00847146" w14:paraId="4D2A9889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C08F61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91BDC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Նախարարության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ոլորտային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մասնագետների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ոլորտային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գերատեսչությունների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մասնագետների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ինչպես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ՀՀ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քաղաքաշինության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տեխնիկական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հրդեհային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անվտանգության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տեսչական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մարմնի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կառույցների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համաձայնությամբ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)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մասնագետների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կողմից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ավարտված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շինարարական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աշխատանքների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որակի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վերահսկողության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այցելություններ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E936C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Այցելության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արդյունքներով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թերությունների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առկայության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տեղեկատվություն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ղեկավարին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ինչպես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նախարարությանը</w:t>
            </w:r>
            <w:proofErr w:type="spellEnd"/>
          </w:p>
        </w:tc>
      </w:tr>
      <w:tr w:rsidR="00847146" w:rsidRPr="00847146" w14:paraId="0589CE6A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A94CF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BCF9F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Ավարտված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շինարարության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փաստագրում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78DB82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Ավարտված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շինարարական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օբյեկտի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հաստատված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նախագծին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նորմատիվատեխնիկական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փաստաթղթերի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պարտադիր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պահանջներին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հավաստվում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ընդունող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հանձնաժողովի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ակտով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հիմնավորվում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կատարողական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փաստաթղթերով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օբյեկտի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տեխնիկական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վիճակի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շահագործման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ենթակա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լինելու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)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հետազննության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դրական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եզրակացություններով</w:t>
            </w:r>
            <w:proofErr w:type="spellEnd"/>
          </w:p>
        </w:tc>
      </w:tr>
      <w:tr w:rsidR="00847146" w:rsidRPr="00847146" w14:paraId="47B73603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0773A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AA0D1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Շինարարական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օբյեկտների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ավարտական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ակտի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շահագործման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թույլտվության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)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ձևակերպում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ղեկավարի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կողմից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86D55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ՀՀ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կառավարության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2015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թվականի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մարտի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9-ի N 596-Ն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որոշման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դրույթների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համաձայն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ղեկավարը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հիմք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ընդունելով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ընդունող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հանձնաժողովի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ակտը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հաստատում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օբյեկտի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ավարտական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ակտը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շահագործման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թույլտվությունը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)</w:t>
            </w:r>
          </w:p>
        </w:tc>
      </w:tr>
      <w:tr w:rsidR="00847146" w:rsidRPr="00847146" w14:paraId="20DBF6EA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FECA7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69B29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ավարտ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փակում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BB3B39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ավարտի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փակման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վերաբերյալ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լուսանկարներով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հոդվածներով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այլն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)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hամապատասխան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կողմից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։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Մարզպետարանը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ներկայացնում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նախարարություն</w:t>
            </w:r>
            <w:proofErr w:type="spellEnd"/>
          </w:p>
        </w:tc>
      </w:tr>
      <w:tr w:rsidR="00847146" w:rsidRPr="00847146" w14:paraId="09ECF975" w14:textId="77777777" w:rsidTr="008471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C367E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33E30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ավարտից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հետո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մարզպետարանների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ըստ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անհրաժեշտության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Նախարարության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ոլորտային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մասնագետների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ոլորտային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գերատեսչությունների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մասնագետների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համաձայնությամբ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)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կողմից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շահագործման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հանձնված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օբյեկտների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ձեռք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բերված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մեքենասարքավորումների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տեխնիկայի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գույքի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կիրառման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օգտագործման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մշտադիտարկման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ու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արդյունավետության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գնահատման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այցելություններ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ավարտից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հետո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առաջին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տարվա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ընթացքում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տարին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մեկ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անգամ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,</w:t>
            </w:r>
          </w:p>
          <w:p w14:paraId="38D59D0B" w14:textId="77777777" w:rsidR="00847146" w:rsidRPr="00847146" w:rsidRDefault="00847146" w:rsidP="0084714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այնուհետև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՝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ըստ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անհրաժեշտության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66E28" w14:textId="77777777" w:rsidR="00847146" w:rsidRPr="00847146" w:rsidRDefault="00847146" w:rsidP="00847146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Այցելության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արդյունքներով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գնահատված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արդյունավետության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կամ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անարդյունավետության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ինչպես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նաև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շահագործման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ընթացքում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բացահայտվող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թերությունների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առկայության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եռօրյա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ժամկետում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տեղեկատվություն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է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ներկայացվում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համայնքի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ղեկավարին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Նախարարություն</w:t>
            </w:r>
            <w:proofErr w:type="spellEnd"/>
            <w:r w:rsidRPr="00847146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։</w:t>
            </w:r>
          </w:p>
        </w:tc>
      </w:tr>
    </w:tbl>
    <w:p w14:paraId="4A47C83E" w14:textId="77777777" w:rsidR="00F12C76" w:rsidRPr="00847146" w:rsidRDefault="00F12C76" w:rsidP="00847146">
      <w:pPr>
        <w:shd w:val="clear" w:color="auto" w:fill="FFFFFF"/>
        <w:spacing w:after="0"/>
        <w:ind w:firstLine="375"/>
        <w:rPr>
          <w:rFonts w:ascii="GHEA Grapalat" w:hAnsi="GHEA Grapalat"/>
          <w:sz w:val="22"/>
        </w:rPr>
      </w:pPr>
    </w:p>
    <w:sectPr w:rsidR="00F12C76" w:rsidRPr="00847146" w:rsidSect="00847146">
      <w:pgSz w:w="11906" w:h="16838" w:code="9"/>
      <w:pgMar w:top="450" w:right="836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46"/>
    <w:rsid w:val="006C0B77"/>
    <w:rsid w:val="00823CC4"/>
    <w:rsid w:val="008242FF"/>
    <w:rsid w:val="00847146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97F8"/>
  <w15:chartTrackingRefBased/>
  <w15:docId w15:val="{1261BABD-5E5C-4BAB-B805-509917AE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14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47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6067</Words>
  <Characters>34588</Characters>
  <Application>Microsoft Office Word</Application>
  <DocSecurity>0</DocSecurity>
  <Lines>288</Lines>
  <Paragraphs>81</Paragraphs>
  <ScaleCrop>false</ScaleCrop>
  <Company/>
  <LinksUpToDate>false</LinksUpToDate>
  <CharactersWithSpaces>40574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Avetyan</dc:creator>
  <cp:keywords/>
  <dc:description/>
  <cp:lastModifiedBy>Narine Avetyan</cp:lastModifiedBy>
  <cp:revision>1</cp:revision>
  <dcterms:created xsi:type="dcterms:W3CDTF">2023-06-22T23:22:00Z</dcterms:created>
  <dcterms:modified xsi:type="dcterms:W3CDTF">2023-06-22T23:26:00Z</dcterms:modified>
</cp:coreProperties>
</file>