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8885" w14:textId="77777777" w:rsidR="00847146" w:rsidRPr="00847146" w:rsidRDefault="00847146" w:rsidP="00847146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6"/>
          <w:szCs w:val="16"/>
        </w:rPr>
      </w:pPr>
      <w:bookmarkStart w:id="0" w:name="_GoBack"/>
      <w:bookmarkEnd w:id="0"/>
      <w:r w:rsidRPr="00847146">
        <w:rPr>
          <w:rFonts w:ascii="Calibri" w:hAnsi="Calibri" w:cs="Calibri"/>
          <w:color w:val="000000"/>
          <w:sz w:val="16"/>
          <w:szCs w:val="16"/>
        </w:rPr>
        <w:t> </w:t>
      </w:r>
      <w:proofErr w:type="spellStart"/>
      <w:r w:rsidRPr="00847146">
        <w:rPr>
          <w:rStyle w:val="Strong"/>
          <w:rFonts w:ascii="GHEA Grapalat" w:hAnsi="GHEA Grapalat"/>
          <w:color w:val="000000"/>
          <w:sz w:val="16"/>
          <w:szCs w:val="16"/>
        </w:rPr>
        <w:t>Հավելված</w:t>
      </w:r>
      <w:proofErr w:type="spellEnd"/>
      <w:r w:rsidRPr="00847146">
        <w:rPr>
          <w:rStyle w:val="Strong"/>
          <w:rFonts w:ascii="GHEA Grapalat" w:hAnsi="GHEA Grapalat"/>
          <w:color w:val="000000"/>
          <w:sz w:val="16"/>
          <w:szCs w:val="16"/>
        </w:rPr>
        <w:t xml:space="preserve"> N 2</w:t>
      </w:r>
    </w:p>
    <w:p w14:paraId="057B3C73" w14:textId="77777777" w:rsidR="00847146" w:rsidRPr="00847146" w:rsidRDefault="00847146" w:rsidP="00847146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6"/>
          <w:szCs w:val="16"/>
        </w:rPr>
      </w:pPr>
      <w:r w:rsidRPr="00847146">
        <w:rPr>
          <w:rStyle w:val="Strong"/>
          <w:rFonts w:ascii="GHEA Grapalat" w:hAnsi="GHEA Grapalat"/>
          <w:color w:val="000000"/>
          <w:sz w:val="16"/>
          <w:szCs w:val="16"/>
        </w:rPr>
        <w:t xml:space="preserve">ՀՀ </w:t>
      </w:r>
      <w:proofErr w:type="spellStart"/>
      <w:r w:rsidRPr="00847146">
        <w:rPr>
          <w:rStyle w:val="Strong"/>
          <w:rFonts w:ascii="GHEA Grapalat" w:hAnsi="GHEA Grapalat"/>
          <w:color w:val="000000"/>
          <w:sz w:val="16"/>
          <w:szCs w:val="16"/>
        </w:rPr>
        <w:t>կառավարության</w:t>
      </w:r>
      <w:proofErr w:type="spellEnd"/>
      <w:r w:rsidRPr="00847146">
        <w:rPr>
          <w:rStyle w:val="Strong"/>
          <w:rFonts w:ascii="GHEA Grapalat" w:hAnsi="GHEA Grapalat"/>
          <w:color w:val="000000"/>
          <w:sz w:val="16"/>
          <w:szCs w:val="16"/>
        </w:rPr>
        <w:t xml:space="preserve"> 2006 </w:t>
      </w:r>
      <w:proofErr w:type="spellStart"/>
      <w:r w:rsidRPr="00847146">
        <w:rPr>
          <w:rStyle w:val="Strong"/>
          <w:rFonts w:ascii="GHEA Grapalat" w:hAnsi="GHEA Grapalat"/>
          <w:color w:val="000000"/>
          <w:sz w:val="16"/>
          <w:szCs w:val="16"/>
        </w:rPr>
        <w:t>թվականի</w:t>
      </w:r>
      <w:proofErr w:type="spellEnd"/>
    </w:p>
    <w:p w14:paraId="63CAAAFE" w14:textId="77777777" w:rsidR="00847146" w:rsidRPr="00847146" w:rsidRDefault="00847146" w:rsidP="00847146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6"/>
          <w:szCs w:val="16"/>
        </w:rPr>
      </w:pPr>
      <w:proofErr w:type="spellStart"/>
      <w:r w:rsidRPr="00847146">
        <w:rPr>
          <w:rStyle w:val="Strong"/>
          <w:rFonts w:ascii="GHEA Grapalat" w:hAnsi="GHEA Grapalat"/>
          <w:color w:val="000000"/>
          <w:sz w:val="16"/>
          <w:szCs w:val="16"/>
        </w:rPr>
        <w:t>նոյեմբերի</w:t>
      </w:r>
      <w:proofErr w:type="spellEnd"/>
      <w:r w:rsidRPr="00847146">
        <w:rPr>
          <w:rStyle w:val="Strong"/>
          <w:rFonts w:ascii="GHEA Grapalat" w:hAnsi="GHEA Grapalat"/>
          <w:color w:val="000000"/>
          <w:sz w:val="16"/>
          <w:szCs w:val="16"/>
        </w:rPr>
        <w:t xml:space="preserve"> 16-ի N 1708-Ն </w:t>
      </w:r>
      <w:proofErr w:type="spellStart"/>
      <w:r w:rsidRPr="00847146">
        <w:rPr>
          <w:rStyle w:val="Strong"/>
          <w:rFonts w:ascii="GHEA Grapalat" w:hAnsi="GHEA Grapalat"/>
          <w:color w:val="000000"/>
          <w:sz w:val="16"/>
          <w:szCs w:val="16"/>
        </w:rPr>
        <w:t>որոշման</w:t>
      </w:r>
      <w:proofErr w:type="spellEnd"/>
    </w:p>
    <w:p w14:paraId="747C2872" w14:textId="710EBA59" w:rsidR="00847146" w:rsidRPr="00847146" w:rsidRDefault="00847146" w:rsidP="00847146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color w:val="000000"/>
          <w:sz w:val="22"/>
          <w:lang w:val="en-US"/>
        </w:rPr>
      </w:pPr>
    </w:p>
    <w:p w14:paraId="5A289B11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Կ Ա Ր Գ</w:t>
      </w:r>
    </w:p>
    <w:p w14:paraId="62D1CC8A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p w14:paraId="25A0C385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ՀԱՅԱՍՏԱՆԻ ՀԱՆՐԱՊԵՏՈՒԹՅԱՆ ՊԵՏԱԿԱՆ ՏԱՐԵԿԱՆ ԲՅՈՒՋԵՆԵՐՈՎ ՆԱԽԱՏԵՍՎԱԾ ՍՈՒԲՎԵՆՑԻԱՆԵՐԻՑ ԲԱՑԻ ՀԱՅԱՍՏԱՆԻ ՀԱՆՐԱՊԵՏՈՒԹՅԱՆ ՀԱՄԱՅՆՔՆԵՐԻ ՏՆՏԵՍԱԿԱՆ ԵՎ ՍՈՑԻԱԼԱԿԱՆ ԵՆԹԱԿԱՌՈՒՑՎԱԾՔՆԵՐԻ ԶԱՐԳԱՑՄԱՆՆ ՈՒՂՂՎԱԾ ՍՈՒԲՎԵՆՑԻԱՅԻ ՀԱՅՏԻ ՄՇԱԿՄԱՆ, ՆԵՐԿԱՅԱՑՄԱՆ, ՔՆՆԱՐԿՄԱՆ ԵՎ ՀԱՍՏԱՏՄԱՆ</w:t>
      </w:r>
    </w:p>
    <w:p w14:paraId="237982AF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p w14:paraId="0797445A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1.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կարգավորվում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տարեկան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բյուջեներով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նախատեսված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սուբվենցիաներից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տնտեսական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սոցիալական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ուղղված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դրանց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քննարկման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հաստատման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կապված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հարաբերությունները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:</w:t>
      </w:r>
    </w:p>
    <w:p w14:paraId="5125DCD4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2.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տնտեսական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սոցիալական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ուղղված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տրամադրման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նպատակով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դիտարկվում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որոնց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իրականացումը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կնպաստի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սեփականության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իրավունքով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պատկանող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հիմնական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միջոցների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հիմնական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ֆոնդերի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ստեղծմանը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ձեռքբերմանը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դրանց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արժեքի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ավելացմանը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բացառություն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՝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բազմաբնակարան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շենքերի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ընդհանուր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բաժնային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սեփականության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գույքի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նորոգման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:</w:t>
      </w:r>
    </w:p>
    <w:p w14:paraId="34958A55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3.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է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բխեն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«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Տեղական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ինքնակառավարման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»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օրենքի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12-րդ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հոդվածով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պարտադիր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խնդիրներից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5-ամյա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ծրագրերին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նպաստեն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դրանց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իրագործմանը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միջնաժամկետ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երկարաժամկետ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կտրվածքով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):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դիտարկվում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</w:p>
    <w:p w14:paraId="67E8A622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1)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50,0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ունեցող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՝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յուրաքանչյուր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ֆոնդային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3,0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իսկ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25,0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ունեցող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՝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յուրաքանչյուր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ֆոնդային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1,5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.</w:t>
      </w:r>
    </w:p>
    <w:p w14:paraId="633A5C96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2) 50,0-ից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500,0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ունեցող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՝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յուրաքանչյուր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ֆոնդային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5,0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.</w:t>
      </w:r>
    </w:p>
    <w:p w14:paraId="50FED875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3) 500,0-ից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1,0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ունեցող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՝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առաջին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ֆոնդային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25,0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իսկ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հաջորդ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յուրաքանչյուր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ֆոնդային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15,0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բացառությամբ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քաղաքաշինական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փաստաթղթերի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),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մեքենասարքավորումների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ձեռքբերման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ֆոնդային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10,0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բացառությամբ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քաղաքաշինական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փաստաթղթերի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).</w:t>
      </w:r>
    </w:p>
    <w:p w14:paraId="5BC2E4E8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4) 1,0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ունեցող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՝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առաջին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ֆոնդային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50,0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իսկ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հաջորդ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յուրաքանչյուր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ֆոնդային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30,0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բացառությամբ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քաղաքաշինական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փաստաթղթերի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),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մեքենասարքավորումների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ձեռքբերման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ֆոնդային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20,0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բացառությամբ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քաղաքաշինական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փաստաթղթերի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)։</w:t>
      </w:r>
    </w:p>
    <w:p w14:paraId="1975468E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4.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տնտեսական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սոցիալական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ուղղված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ստանալու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նպատակով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բացառությամբ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Երևանի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քաղաքապետի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նախատեսվող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օբյեկտի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նախագծման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տեխնիկական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բնութագրերը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կառավարության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2015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19-ի N 596-Ն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որոշմամբ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NN 4-2, 4-3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ձևերին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lastRenderedPageBreak/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ըստ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անհրաժեշտության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ոլորտային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լրացուցիչ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պայմանների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ներառմամբ</w:t>
      </w:r>
      <w:proofErr w:type="spellEnd"/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շինարարական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աշխատանքների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կատարման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կամ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ձեռքբերվող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մեքենասարքավորումների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տեխնիկական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բնութագրերի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(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այսուհետ</w:t>
      </w:r>
      <w:proofErr w:type="spellEnd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բնութագիր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),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գոյություն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ունեցող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շենքերի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շինությունների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վերակառուցման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նորոգման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վերականգնման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ուժեղացման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ծրագրերի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՝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շենքերի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շինությունների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տեխնիկական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վիճակի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եզրակացության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միասին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՝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նախորդող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մայիսի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5-ը: 2021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տեխնիկական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բնութագրերի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միասին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՝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2021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10-ը։</w:t>
      </w:r>
    </w:p>
    <w:p w14:paraId="4DD89792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5.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ստանալով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բնութագիրը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ուսումնասիրում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է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սոցիալ-տնտեսական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առարկություններ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չունենալու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է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տարածքային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կառավարման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այսուհետ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՝ </w:t>
      </w:r>
      <w:proofErr w:type="spellStart"/>
      <w:proofErr w:type="gram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)՝</w:t>
      </w:r>
      <w:proofErr w:type="gram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նախորդող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մայիսի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10-ը,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իսկ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2021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՝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15-ը։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Առարկություններ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ունենալու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վերադարձնում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բնութագիրը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երեք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աշխատանքային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բայց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ոչ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ուշ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կետով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ժամկետը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լրամշակված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բնութագիրը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չներկայացնելու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վերադարձված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4D67B09E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6.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ստանալով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բնութագիրը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դրանք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ոլորտային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կառավարման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մարմինների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ոլորտային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մասնագիտացված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կառույցների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քննարկմանը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0792E744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7.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Ոլորտային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կառավարման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մարմինները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ստանալով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բնութագիրը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երեք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աշխատանքային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դրանց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դիրքորոշումը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դիտողությունները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29BED0AE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8.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բնութագրերի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կարծիքներն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ստանալուց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հետո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երկու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աշխատանքային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դրանք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185866CD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9.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մեկ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աշխատանքային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տեղեկացնում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126C73CF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9</w:t>
      </w:r>
      <w:r w:rsidRPr="00847146">
        <w:rPr>
          <w:rFonts w:ascii="Cambria Math" w:eastAsia="Times New Roman" w:hAnsi="Cambria Math" w:cs="Cambria Math"/>
          <w:color w:val="000000"/>
          <w:sz w:val="22"/>
          <w:lang w:val="pt-BR"/>
        </w:rPr>
        <w:t>․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1.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Համայնքները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ստացված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դիրքորոշումների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դիտողությունների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հիման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վրա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լրամշակում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մեքենասարքավորումների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գույքի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ձեռքբերման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շինարարական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օբյեկտների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նախագծման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տեխնիկական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բնութագրերը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երկու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աշխատանքային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4BC7C8A2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9</w:t>
      </w:r>
      <w:r w:rsidRPr="00847146">
        <w:rPr>
          <w:rFonts w:ascii="Cambria Math" w:eastAsia="Times New Roman" w:hAnsi="Cambria Math" w:cs="Cambria Math"/>
          <w:color w:val="000000"/>
          <w:sz w:val="22"/>
          <w:lang w:val="pt-BR"/>
        </w:rPr>
        <w:t>․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2.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Մարզպետարանը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ստուգելով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լրամշակված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հայտի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տեխնիկական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բնութագրերի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համապատասխանությունը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նախարարության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ներկայացված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դիրքորոշումների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դիտողությունների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առաջարկում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համայնքներին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կազմակերպել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նախագծանախահաշվային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փաստաթղթերի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կազմման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աշխատանքների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գնման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մրցութային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գործընթաց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օրենսդրությամբ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304FA6D4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9</w:t>
      </w:r>
      <w:r w:rsidRPr="00847146">
        <w:rPr>
          <w:rFonts w:ascii="Cambria Math" w:eastAsia="Times New Roman" w:hAnsi="Cambria Math" w:cs="Cambria Math"/>
          <w:color w:val="000000"/>
          <w:sz w:val="22"/>
          <w:lang w:val="pt-BR"/>
        </w:rPr>
        <w:t>․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3.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Համայնքները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մեքենասարքավորումների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գույքի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ձեռքբերման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շինարարական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օբյեկտների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նախագծման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մրցույթի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հրապարակման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ստ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որագրված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արձանագրությունների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կնքված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պայմանագրերի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պատճենները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7ABFE0A3" w14:textId="38510768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</w:p>
    <w:p w14:paraId="2E19D450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10.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ստացված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դիրքորոշումների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դիտողությունների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հիման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վրա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կազմում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12-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կետի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դրույթների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համաձայն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ամբողջական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նախորդող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նոյեմբերի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25-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ը։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2023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ամբողջական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2023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6-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:</w:t>
      </w:r>
    </w:p>
    <w:p w14:paraId="0FE4C2B3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11.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ստանալուց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հետո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ստուգելով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դրանց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դրույթներին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իրագործելիության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ֆինանսական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ցուցանիշների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առարկություններ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չունենալու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գրությամբ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նախորդող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դեկտեմբերի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5-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իսկ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2023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lastRenderedPageBreak/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ամբողջական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2023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15-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: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Առարկություններ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ունենալու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վերադարձնում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հինգ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աշխատանքային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բայց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ոչ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ուշ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կետով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ժամկետը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լրամշակված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չներկայացվելու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վերադարձված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7504C633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12.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ամբողջական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ներառում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է՝</w:t>
      </w:r>
    </w:p>
    <w:p w14:paraId="533497D3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23B158E3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նպատակահարմարության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</w:p>
    <w:p w14:paraId="65ABD122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ավագանու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որոշումը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բացառությամբ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որտեղ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օրենսդրությամբ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ավագանի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ձևավորվել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,</w:t>
      </w:r>
    </w:p>
    <w:p w14:paraId="0B82E8EF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գրությունը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,</w:t>
      </w:r>
    </w:p>
    <w:p w14:paraId="382EDBA9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ուղեկցող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գրությունը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78ADBD21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3)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ծրագիրն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իրականացնելու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նպատակով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կազմակերպված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լսումների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արձանագրությունը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3C3D99EB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4)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շինարարական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նախագծանախահաշվային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փաստաթղթերի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լրակազմ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նախագծի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ելակետային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տվյալները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ճարտարապետահատակագծային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առաջադրանքը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տեխնիկական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պայմանները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տարածքի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ինժեներաերկրաբանական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հետազննության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գոյություն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ունեցող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շենքերի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շինությունների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փաստացի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տեխնիկական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վիճակի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հետազննության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եզրակացությունները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նախագծի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նախագծանախահաշվային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փաստաթղթերի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տրված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փորձաքննության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եզրակացությունը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շահագրգիռ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մարմինների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համաձայնեցումները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) «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Գնումների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»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օրենքի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15-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հոդվածի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6-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պահանջներին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կազմակերպված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մրցակցային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ընթացակարգի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արդյունքում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կնքված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պայմանագրերը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22469AD3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5)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մեքենասարքավորումների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տեխնիկայի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գույքի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ձեռքբերման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</w:p>
    <w:p w14:paraId="09AE4AF3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դրանց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տեխնիկական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բնութագրերը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ֆինանսական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գնահատականները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առնվազն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երեք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կազմակերպությունների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տրված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գնահարցումները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,</w:t>
      </w:r>
    </w:p>
    <w:p w14:paraId="7E7E0BE3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երաշխավորագիրը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`</w:t>
      </w:r>
    </w:p>
    <w:p w14:paraId="449B0BD6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-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դրանց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առնվազն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ժամկետով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շահագործման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սպասարկման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պահպանման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ծախսերը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հոգալու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ծախսերը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բյուջեներում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նախատեսելու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,</w:t>
      </w:r>
    </w:p>
    <w:p w14:paraId="0B21DAB3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-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մատուցված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ծառայությունները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բնակչությանը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հասանելի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լինելու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,</w:t>
      </w:r>
    </w:p>
    <w:p w14:paraId="2CCFC338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-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մատուցված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ծառայությունների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դիմաց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ստացված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եկամուտը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մուտքագրելու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սոցիալ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տնտեսական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ուղղելու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39810C0B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5</w:t>
      </w:r>
      <w:r w:rsidRPr="00847146">
        <w:rPr>
          <w:rFonts w:ascii="Cambria Math" w:eastAsia="Times New Roman" w:hAnsi="Cambria Math" w:cs="Cambria Math"/>
          <w:color w:val="000000"/>
          <w:sz w:val="22"/>
          <w:lang w:val="pt-BR"/>
        </w:rPr>
        <w:t>․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1)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Բնակավայրի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փողոցների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կառուցման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նորոգման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՝</w:t>
      </w:r>
    </w:p>
    <w:p w14:paraId="26B7CD87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</w:t>
      </w:r>
      <w:r w:rsidRPr="00847146">
        <w:rPr>
          <w:rFonts w:ascii="Cambria Math" w:eastAsia="Times New Roman" w:hAnsi="Cambria Math" w:cs="Cambria Math"/>
          <w:color w:val="000000"/>
          <w:sz w:val="22"/>
          <w:lang w:val="pt-BR"/>
        </w:rPr>
        <w:t>․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հատակագծերով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փողոցների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ընդգծված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պատկերը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,</w:t>
      </w:r>
    </w:p>
    <w:p w14:paraId="74546B1D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</w:t>
      </w:r>
      <w:r w:rsidRPr="00847146">
        <w:rPr>
          <w:rFonts w:ascii="Cambria Math" w:eastAsia="Times New Roman" w:hAnsi="Cambria Math" w:cs="Cambria Math"/>
          <w:color w:val="000000"/>
          <w:sz w:val="22"/>
          <w:lang w:val="pt-BR"/>
        </w:rPr>
        <w:t>․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այդ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ճանապարհների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սպասարկման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պահպանմ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ծախսերը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միջնաժամկետ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ծախսային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ներառելու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տեղեկանքը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,</w:t>
      </w:r>
    </w:p>
    <w:p w14:paraId="659E24C7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</w:t>
      </w:r>
      <w:r w:rsidRPr="00847146">
        <w:rPr>
          <w:rFonts w:ascii="Cambria Math" w:eastAsia="Times New Roman" w:hAnsi="Cambria Math" w:cs="Cambria Math"/>
          <w:color w:val="000000"/>
          <w:sz w:val="22"/>
          <w:lang w:val="pt-BR"/>
        </w:rPr>
        <w:t>․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այդ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ճանապարհների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ստորգետնյա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տեղեկատվություն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հավաստիացում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որ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ծրագրով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նախատեսվող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շինարարական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աշխատանքների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երաշխիքային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ժամկետի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նախատեսվում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նշված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հատվածներում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ստորգետնյա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կառուցման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վերանորոգման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աշխատանքներ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7EF5E033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5</w:t>
      </w:r>
      <w:r w:rsidRPr="00847146">
        <w:rPr>
          <w:rFonts w:ascii="Cambria Math" w:eastAsia="Times New Roman" w:hAnsi="Cambria Math" w:cs="Cambria Math"/>
          <w:color w:val="000000"/>
          <w:sz w:val="22"/>
          <w:lang w:val="pt-BR"/>
        </w:rPr>
        <w:t>․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2)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ոռոգման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համակարգերի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կառուցման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նորոգման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արդյունքում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ակնկալվող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ոռոգելի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հողատարածքների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դրանց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չափերի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քարտեզային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պատ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39A6F2AC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6)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մասնավոր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հատվածի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կազմակերպություններ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բնակչություն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տվյալ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հստակ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տեղեկանքը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պայմանագիրը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նպատակային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ծախսի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երաշխավորագիրը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54B88AEC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7)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տեղեկանք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ֆոնդային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նախատեսվող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գումարի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46B662CA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lastRenderedPageBreak/>
        <w:t xml:space="preserve">7.1)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քաղվածք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ավագանու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հաստատված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միջնաժամկետ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ծախսերի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5DF8BE2A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8)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փաստաթղթեր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`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ըստ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անհրաժեշտության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7B8B5C68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13.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տնտեսական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սոցիալական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ուղղված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ստանալուց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հետո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նախնական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քննարկվում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դրույթներին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3C00FBBD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14.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դրույթներին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չհամապատասխանող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կառավարության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2006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նոյեմբերի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16-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N 1708-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որոշման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N 3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հավելվածով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ձևաչափին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անհամապատասխան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պահանջվող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փաստաթղթերով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վերադարձվում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ղեկավարներին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ժամկետ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սահմանելով</w:t>
      </w:r>
      <w:proofErr w:type="spellEnd"/>
      <w:r w:rsidRPr="00847146">
        <w:rPr>
          <w:rFonts w:ascii="Calibri" w:eastAsia="Times New Roman" w:hAnsi="Calibri" w:cs="Calibri"/>
          <w:color w:val="000000"/>
          <w:sz w:val="22"/>
          <w:lang w:val="pt-BR"/>
        </w:rPr>
        <w:t> 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7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աշխատանքային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օր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բայց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ոչ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ուշ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քան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կարգով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Arial Unicode"/>
          <w:color w:val="000000"/>
          <w:sz w:val="22"/>
          <w:lang w:val="en-US"/>
        </w:rPr>
        <w:t>հայտե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ընդունման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վերջնաժամկետը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2E1ECCCA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15.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ամփոփելով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փաստաթղթերը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վարչապետի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որոշմամբ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ստեղծված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գնահատման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միջգերատեսչական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այսուհետ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`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անդամներին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անհրաժեշտության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շահագրգիռ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մարմինների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քննարկմանը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04C546AC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16.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անդամները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ստանալուց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հետո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տասը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աշխատանքային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ելնելով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հրատապ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հարցերի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հիմնալուծման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վրա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ազդեցությունից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`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տալիս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եզրակացությունները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բացասական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դիրքորոշումները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49B9B0CD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17.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ամփոփելով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անդամների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շահագրգիռ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մարմինների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կարծիքները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արդյունքները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նիստի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քննարկմանը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: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նիստերում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քննարկվում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փետրվարի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15-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ը։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2023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նիստերում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քննարկվում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2023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31-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:</w:t>
      </w:r>
    </w:p>
    <w:p w14:paraId="3AB8CFB8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17.1.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4-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, 5-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, 10-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11-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կետերով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ժամկետներում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օրենսդրությամբ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չընտրվելու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ավագանի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չձևավորվելու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դեպքերում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բացառություն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</w:p>
    <w:p w14:paraId="5F059797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4-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կետով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փաստաթղթերը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հունվարի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30-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74955C36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5-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կետով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դրույթներին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բնութագիրը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փետրվարի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3-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20FF7416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3)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10-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կետով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ամբողջական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մայիսի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25-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03153C33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4)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11-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կետով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ամբողջական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փաթեթները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ընթացիկ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մայիսի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30-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60B31996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5)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17-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կետով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նիստերում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քննարկվել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հունիսի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15-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ը։</w:t>
      </w:r>
    </w:p>
    <w:p w14:paraId="059426DD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18.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նիստի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տալիս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բացասական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վերադարձնելու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եզրակացություն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ելնելով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</w:p>
    <w:p w14:paraId="1FA3A3BC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համաչափ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միտումներից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63CD26A8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սոցիալ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տնտեսական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վրա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ազդեցությունից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.</w:t>
      </w:r>
    </w:p>
    <w:p w14:paraId="5050E02F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3)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մասնավոր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համագործակցության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առկայությունից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49B54D28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19.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նիստի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յուրաքանչյուր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բացասական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վերադարձնելու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եզրակացությունը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տրվում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lastRenderedPageBreak/>
        <w:t>անդամների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քվեարկությամբ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ձայների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պարզ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մեծամասնությամբ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Ձայների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հավասարության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նախագահի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ձայնը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վճռորոշ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է։</w:t>
      </w:r>
    </w:p>
    <w:p w14:paraId="4B5DC874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20.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վերադարձվող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յուրաքանչյուր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լրամշակման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ժամկետը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բայց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ոչ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աշխատանքային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67DFEA92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21.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որոշմամբ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ժամկետում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լրամշակված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քննարկվում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նիստում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կատարված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փոփոխությունների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ներկայացմամբ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քարտուղարի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1436DA7A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22.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եզրակացության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երեք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աշխատանքային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օրվա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տեղեկացնում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ղեկավարին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`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նշելով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տրամադրման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տոկոսը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վերջինիս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առաջարկում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կազմակերպել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գնման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մրցակցային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գործընթաց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`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օրենսդրությամբ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մրցույթի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արդյունքներով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հաստատված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:</w:t>
      </w:r>
    </w:p>
    <w:p w14:paraId="05CF5825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23.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տարածքային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կառավարման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նախարարը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օրենսդրությամբ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հիմք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ընդունելով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որոշման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N 4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հավելվածով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հսկողության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մշտադիտարկման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գործընթացները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կառավարություն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ներկայացնում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առաջարկություն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`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ծրագիրը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չափաբաժինները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ֆինանսավորելու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տեսքով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միջոցներ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հատկացնելու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վերաբերյալ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748BC73A" w14:textId="77777777" w:rsidR="00847146" w:rsidRPr="00847146" w:rsidRDefault="00847146" w:rsidP="0084714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24.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տնտեսական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սոցիալական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ուղղված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տրամադրվում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ընդհանուր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արժեքի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հետևյալ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չափաբաժնով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ըստ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հետևյալ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ոլորտների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</w:p>
    <w:p w14:paraId="3166EB7D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Calibri" w:eastAsia="Times New Roman" w:hAnsi="Calibri" w:cs="Calibri"/>
          <w:color w:val="000000"/>
          <w:sz w:val="22"/>
          <w:lang w:val="pt-BR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1580"/>
        <w:gridCol w:w="1645"/>
        <w:gridCol w:w="1580"/>
        <w:gridCol w:w="1176"/>
        <w:gridCol w:w="1491"/>
      </w:tblGrid>
      <w:tr w:rsidR="00847146" w:rsidRPr="00847146" w14:paraId="57384B65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464F825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ոլորտը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0908632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Հայաստանի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Հանրապետության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պետական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բյուջեից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տրամադրվող</w:t>
            </w:r>
            <w:proofErr w:type="spellEnd"/>
          </w:p>
          <w:p w14:paraId="03791571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սուբվենցիայի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չափաբաժինը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տոկոս</w:t>
            </w:r>
            <w:proofErr w:type="spellEnd"/>
          </w:p>
        </w:tc>
      </w:tr>
      <w:tr w:rsidR="00847146" w:rsidRPr="00847146" w14:paraId="1270651A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13623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6AB6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մայրաքաղաքից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մինչև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60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հեռավորություն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ունեցող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բնակավայր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9EA8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մայրաքաղաքից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60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կմ-ից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ավելի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մարզկենտրոնից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մինչև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30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հեռավորություն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ունեցող</w:t>
            </w:r>
            <w:proofErr w:type="spellEnd"/>
          </w:p>
          <w:p w14:paraId="0CC716A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բնակավայր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BD0E2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մայրաքաղաքից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100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կմ-ից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ավելի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հեռավորություն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ունեցող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բնակավայր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520A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բարձր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լեռնային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բնակավայր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24D6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Սահմանամերձ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բնակավայր</w:t>
            </w:r>
            <w:proofErr w:type="spellEnd"/>
          </w:p>
        </w:tc>
      </w:tr>
      <w:tr w:rsidR="00847146" w:rsidRPr="00847146" w14:paraId="054E77A1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35382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Խմելու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ջրամատակարարման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ջրահեռացման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համակարգի</w:t>
            </w:r>
            <w:proofErr w:type="spellEnd"/>
          </w:p>
          <w:p w14:paraId="3807A3DA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նորոգում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5C55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FE6E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A1F63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2C8FE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5A2AD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70</w:t>
            </w:r>
          </w:p>
        </w:tc>
      </w:tr>
      <w:tr w:rsidR="00847146" w:rsidRPr="00847146" w14:paraId="25B879D9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0187B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Ոռոգման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համակարգի</w:t>
            </w:r>
            <w:proofErr w:type="spellEnd"/>
          </w:p>
          <w:p w14:paraId="51C7FAFA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նորոգում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F42FEB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F482D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E0BF4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744A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1EC06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70</w:t>
            </w:r>
          </w:p>
        </w:tc>
      </w:tr>
      <w:tr w:rsidR="00847146" w:rsidRPr="00847146" w14:paraId="45EBF36F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7413D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Բնակավայրի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փողոցների</w:t>
            </w:r>
            <w:proofErr w:type="spellEnd"/>
          </w:p>
          <w:p w14:paraId="49FE9EF8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նորոգում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ասֆալտապատմամբ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579D1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BF2C1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ADD5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A7041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114E0C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55</w:t>
            </w:r>
          </w:p>
        </w:tc>
      </w:tr>
      <w:tr w:rsidR="00847146" w:rsidRPr="00847146" w14:paraId="3C856227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E6B156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Բնակավայրի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փողոցների</w:t>
            </w:r>
            <w:proofErr w:type="spellEnd"/>
          </w:p>
          <w:p w14:paraId="382DD2B6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նորոգում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սալարկմամբ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խճապատմամբ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958DF" w14:textId="77777777" w:rsidR="00847146" w:rsidRPr="00847146" w:rsidRDefault="00847146" w:rsidP="0084714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34B2A" w14:textId="77777777" w:rsidR="00847146" w:rsidRPr="00847146" w:rsidRDefault="00847146" w:rsidP="0084714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F7502B" w14:textId="77777777" w:rsidR="00847146" w:rsidRPr="00847146" w:rsidRDefault="00847146" w:rsidP="0084714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B4728" w14:textId="77777777" w:rsidR="00847146" w:rsidRPr="00847146" w:rsidRDefault="00847146" w:rsidP="0084714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59296" w14:textId="77777777" w:rsidR="00847146" w:rsidRPr="00847146" w:rsidRDefault="00847146" w:rsidP="0084714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70</w:t>
            </w:r>
          </w:p>
        </w:tc>
      </w:tr>
      <w:tr w:rsidR="00847146" w:rsidRPr="00847146" w14:paraId="64DAE154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34DF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lastRenderedPageBreak/>
              <w:t>Հեռագնա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արոտների</w:t>
            </w:r>
            <w:proofErr w:type="spellEnd"/>
          </w:p>
          <w:p w14:paraId="53A2770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ճանապարհների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բարելավում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D759B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56CE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009EC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99680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F786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</w:tr>
      <w:tr w:rsidR="00847146" w:rsidRPr="00847146" w14:paraId="701104CD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35285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Փողոցային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լուսավորության</w:t>
            </w:r>
            <w:proofErr w:type="spellEnd"/>
          </w:p>
          <w:p w14:paraId="66818D95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համակարգի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նորոգում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18218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889AF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D3A0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767D8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7B2BF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70</w:t>
            </w:r>
          </w:p>
        </w:tc>
      </w:tr>
      <w:tr w:rsidR="00847146" w:rsidRPr="00847146" w14:paraId="6DDB634D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22E3F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Վերականգնվող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էներգետիկա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թվում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արևային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ֆոտովոլտային</w:t>
            </w:r>
            <w:proofErr w:type="spellEnd"/>
          </w:p>
          <w:p w14:paraId="00E517CF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կայանների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տեղադրում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F0968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8D73C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6194D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5663A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FB54E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70</w:t>
            </w:r>
          </w:p>
        </w:tc>
      </w:tr>
      <w:tr w:rsidR="00847146" w:rsidRPr="00847146" w14:paraId="1051CBE9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D657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Բնակավայրերի</w:t>
            </w:r>
            <w:proofErr w:type="spellEnd"/>
          </w:p>
          <w:p w14:paraId="29A9DCF2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գազաֆիկացում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8E068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D685A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8E930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69B86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9294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65</w:t>
            </w:r>
          </w:p>
        </w:tc>
      </w:tr>
      <w:tr w:rsidR="00847146" w:rsidRPr="00847146" w14:paraId="7A9DAE41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85CD2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Նախադպրոցական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հաստատությունների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,</w:t>
            </w:r>
          </w:p>
          <w:p w14:paraId="34DDC07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վերակառուցում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նորոգում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CE5A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3046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C7088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F5E31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54FA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80</w:t>
            </w:r>
          </w:p>
        </w:tc>
      </w:tr>
      <w:tr w:rsidR="00847146" w:rsidRPr="00847146" w14:paraId="7A6D6F28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32E5BC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Բազմաբնակարան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շենքերի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ընդհանուր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բաժնային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սեփականության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գույքի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նորոգում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թվում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էներգախնայող</w:t>
            </w:r>
            <w:proofErr w:type="spellEnd"/>
          </w:p>
          <w:p w14:paraId="51A402FC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միջոցառումների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կիրառում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36566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5CA7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49A28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2ADE7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4CD8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</w:tr>
      <w:tr w:rsidR="00847146" w:rsidRPr="00847146" w14:paraId="0C9088A1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E5DCC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Մեքենասարքավորումների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,</w:t>
            </w:r>
          </w:p>
          <w:p w14:paraId="0071362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տեխնիկայի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գույքի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ձեռքբերում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71DE2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224EB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F2B1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5001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D1AAC1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</w:tr>
      <w:tr w:rsidR="00847146" w:rsidRPr="00847146" w14:paraId="795F106C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64C2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Աղբավայրերի</w:t>
            </w:r>
            <w:proofErr w:type="spellEnd"/>
          </w:p>
          <w:p w14:paraId="7B34287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բարեկարգում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փակում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15531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2E0B4D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43BED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BBA5B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904EF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</w:tr>
      <w:tr w:rsidR="00847146" w:rsidRPr="00847146" w14:paraId="2EE3EFC1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60A00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Հասարակական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շենքերի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մշակույթի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կենտրոններ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այլն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)</w:t>
            </w:r>
          </w:p>
          <w:p w14:paraId="35BA8B20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վերանորոգում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81E65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32E561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6882A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28980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1CFF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60</w:t>
            </w:r>
          </w:p>
        </w:tc>
      </w:tr>
      <w:tr w:rsidR="00847146" w:rsidRPr="00847146" w14:paraId="45F42A07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17B5B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Այգիների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պուրակների</w:t>
            </w:r>
            <w:proofErr w:type="spellEnd"/>
          </w:p>
          <w:p w14:paraId="1196446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բարեկարգում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CADE16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6D473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10D2F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3698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4A614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55</w:t>
            </w:r>
          </w:p>
        </w:tc>
      </w:tr>
      <w:tr w:rsidR="00847146" w:rsidRPr="00847146" w14:paraId="75FF30F7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FD2370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Oպտիկամանրաթելային</w:t>
            </w:r>
            <w:proofErr w:type="spellEnd"/>
          </w:p>
          <w:p w14:paraId="044551D0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ցանցի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կապուղու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բարելավում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04F08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4E821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A2E80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6CFB8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BC347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55</w:t>
            </w:r>
          </w:p>
        </w:tc>
      </w:tr>
      <w:tr w:rsidR="00847146" w:rsidRPr="00847146" w14:paraId="46C7E6D9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65A15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Քաղաքացիական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պաշտպանության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ենթակառուցվածքների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ապաստարանների</w:t>
            </w:r>
            <w:proofErr w:type="spellEnd"/>
          </w:p>
          <w:p w14:paraId="40BAB643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նորոգում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F11FD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1F518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747FEC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C5148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71B1D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65</w:t>
            </w:r>
          </w:p>
        </w:tc>
      </w:tr>
      <w:tr w:rsidR="00847146" w:rsidRPr="00847146" w14:paraId="6BEDF7A4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FFF53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քաղաքաշինական</w:t>
            </w:r>
            <w:proofErr w:type="spellEnd"/>
          </w:p>
          <w:p w14:paraId="7B2313F3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lastRenderedPageBreak/>
              <w:t>փաստաթղթերի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մշակում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15AC6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41D66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A87FC2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A2E0A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4F313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55</w:t>
            </w:r>
          </w:p>
        </w:tc>
      </w:tr>
    </w:tbl>
    <w:p w14:paraId="401D5444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24.1.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Մասնավոր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հատվածի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կազմակերպություններ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ընկերություններ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բնակչություն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),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դոնոր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կազմակերպությունների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տոկոս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չափաբաժինն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ավելանում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5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տոկոսով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:</w:t>
      </w:r>
    </w:p>
    <w:p w14:paraId="06CDEA45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24.2.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Մինչև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25,0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մլն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ունեցող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յուրաքանչյուր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չափաբաժինն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ավելանում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տոկոսով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:</w:t>
      </w:r>
    </w:p>
    <w:p w14:paraId="4FAD7636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24.3.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Խոշորացված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տարբեր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բնակավայրերում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տնտեսական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սոցիալական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ուղղված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չափաբաժինը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որոշվում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շրջանակներում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50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տոկոս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կազմող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բնակավայրերի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աշխարհագրական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դիրքին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չափաբաժիններով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3A7B82E3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24.4. «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Բազմաբնակարան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շենքերի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ընդհանուր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բաժնային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սեփականության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գույքի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նորոգում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էներգախնայող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միջոցառումների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կիրառում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»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կիրառման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պարտադիր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պահանջ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բազմաբնակարան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շենքերի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բնակիչների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մասնակցությունը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ընդհանուր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արժեքի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5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տոկոս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ավելիի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ամբողջական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էներգախնայող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միջոցառումների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կիրառման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10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տոկոս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առանց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էներգախնայող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միջոցառումների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կիրառման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073A2332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24.5.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Դոնոր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կազմակերպության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ընդհանուր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արժեքի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51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ավել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տոկոս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դեպքում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նախագծման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շինարարական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գույքի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տեխնիկայի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ձեռքբերման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գործընթացները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իրականացվել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նշված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կազմակերպության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՝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«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Գնումների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մասին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»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օրենքի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դրույթների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համաձայն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ողջ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գործընթացը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համաձայնեցնելով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և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մարզպետարանների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240766BB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25.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Սուբվենցիան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տրամադրվում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կառավարության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2006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թվականի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նոյեմբերի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16-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N 1708-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որոշման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1-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կետով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հաստատված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կարգի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2–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րդ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բաժնով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սահմանված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ընթացակարգին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>:</w:t>
      </w:r>
    </w:p>
    <w:p w14:paraId="4AFCCD2E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pt-BR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26.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դրական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եզրակացություն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ստացած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մրցութային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փուլի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արդյունքներով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հաստատված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հայտի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ընդհանուր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գումարի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տոկոսի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ընդհանուր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գումարից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պետական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բյուջեի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չափաբաժնով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համաֆինանսավորումը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կատարվում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համապատասխան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չափաբաժնի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ֆինանսավորումից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հետո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արդյունքում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խնայված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ինչպես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նաև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կապալառուի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գանձվող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տույժ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տուգանքների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գումարը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բաշխվում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է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pt-BR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համամասնորեն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։</w:t>
      </w:r>
    </w:p>
    <w:p w14:paraId="0E664844" w14:textId="1795E232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en-US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9"/>
        <w:gridCol w:w="4521"/>
      </w:tblGrid>
      <w:tr w:rsidR="00847146" w:rsidRPr="00847146" w14:paraId="3DB6E3E5" w14:textId="77777777" w:rsidTr="00847146">
        <w:trPr>
          <w:tblCellSpacing w:w="7" w:type="dxa"/>
        </w:trPr>
        <w:tc>
          <w:tcPr>
            <w:tcW w:w="0" w:type="auto"/>
            <w:vAlign w:val="center"/>
            <w:hideMark/>
          </w:tcPr>
          <w:p w14:paraId="04EF21D6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500" w:type="dxa"/>
            <w:vAlign w:val="bottom"/>
            <w:hideMark/>
          </w:tcPr>
          <w:p w14:paraId="3E93DE5C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542C8115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04944FA0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73342B3B" w14:textId="77777777" w:rsid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746F72B8" w14:textId="77777777" w:rsid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3B99B187" w14:textId="77777777" w:rsid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2E1A1417" w14:textId="77777777" w:rsid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387A7760" w14:textId="77777777" w:rsid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075117AD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3D20580C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23E93662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2E9143B9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4745A102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61464A21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0FD3CCFA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6BEAD4FF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5AFE0F4E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4C3A0B2E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4B0ADB2D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2CE05AA8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1E16FBBE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  <w:p w14:paraId="64F1CD01" w14:textId="3602A23E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lastRenderedPageBreak/>
              <w:t>Հավելված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 xml:space="preserve"> N 3</w:t>
            </w:r>
          </w:p>
          <w:p w14:paraId="2B529D65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 xml:space="preserve">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կառավարության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 xml:space="preserve"> 2006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թվականի</w:t>
            </w:r>
            <w:proofErr w:type="spellEnd"/>
          </w:p>
          <w:p w14:paraId="1B6CF31A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նոյեմբերի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 xml:space="preserve"> 16-ի N 1708-Ն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որոշման</w:t>
            </w:r>
            <w:proofErr w:type="spellEnd"/>
          </w:p>
        </w:tc>
      </w:tr>
    </w:tbl>
    <w:p w14:paraId="2C518B8E" w14:textId="77777777" w:rsidR="00847146" w:rsidRPr="00847146" w:rsidRDefault="00847146" w:rsidP="00847146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lastRenderedPageBreak/>
        <w:t> </w:t>
      </w:r>
    </w:p>
    <w:p w14:paraId="4F638560" w14:textId="77777777" w:rsidR="00847146" w:rsidRPr="00847146" w:rsidRDefault="00847146" w:rsidP="00847146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u w:val="single"/>
          <w:lang w:val="en-US"/>
        </w:rPr>
        <w:t>Ձև</w:t>
      </w:r>
      <w:proofErr w:type="spellEnd"/>
    </w:p>
    <w:p w14:paraId="380095F5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p w14:paraId="0985A8EE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 Ա Յ Տ</w:t>
      </w:r>
    </w:p>
    <w:p w14:paraId="67AE6C87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p w14:paraId="29866E7B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տնտեսական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սոցիալական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զարգացմանն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ուղղված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սուբվենցիաների</w:t>
      </w:r>
      <w:proofErr w:type="spellEnd"/>
    </w:p>
    <w:p w14:paraId="25492CB1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tbl>
      <w:tblPr>
        <w:tblW w:w="975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6770"/>
      </w:tblGrid>
      <w:tr w:rsidR="00847146" w:rsidRPr="00847146" w14:paraId="08F393F7" w14:textId="77777777" w:rsidTr="00847146">
        <w:trPr>
          <w:tblCellSpacing w:w="22" w:type="dxa"/>
          <w:jc w:val="center"/>
        </w:trPr>
        <w:tc>
          <w:tcPr>
            <w:tcW w:w="9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3444B23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3201B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անվանումը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պետք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հնարավորինս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հստակ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արտացոլի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էությունը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</w:tc>
      </w:tr>
      <w:tr w:rsidR="00847146" w:rsidRPr="00847146" w14:paraId="55D1C4E5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380215B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Մարզ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C637E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Մարզի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անվանումը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</w:tc>
      </w:tr>
      <w:tr w:rsidR="00847146" w:rsidRPr="00847146" w14:paraId="0EF3D238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B7B6326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7A076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անվանումը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: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Խոշորացված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մասնակից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բնակավայրերի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անվանումները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</w:tc>
      </w:tr>
      <w:tr w:rsidR="00847146" w:rsidRPr="00847146" w14:paraId="1757E95D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AD471DB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բնակավայրի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հեռավորությունը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մայրաքաղաք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Երևանից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մարզկենտրոնից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0AB4A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gram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....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կմ</w:t>
            </w:r>
            <w:proofErr w:type="spellEnd"/>
            <w:proofErr w:type="gram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,,,,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կմ</w:t>
            </w:r>
            <w:proofErr w:type="spellEnd"/>
          </w:p>
        </w:tc>
      </w:tr>
      <w:tr w:rsidR="00847146" w:rsidRPr="00847146" w14:paraId="237B22B2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2A0401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բնակավայրի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բնակչությունը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7C91C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r w:rsidRPr="00847146">
              <w:rPr>
                <w:rFonts w:ascii="Cambria Math" w:eastAsia="Times New Roman" w:hAnsi="Cambria Math" w:cs="Cambria Math"/>
                <w:i/>
                <w:iCs/>
                <w:color w:val="000000"/>
                <w:sz w:val="22"/>
                <w:lang w:val="en-US"/>
              </w:rPr>
              <w:t>․․․․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մարդ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ծրագիրն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իրականացնող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բնակավայրի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բնակավայրերի</w:t>
            </w:r>
            <w:proofErr w:type="spellEnd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՝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r w:rsidRPr="00847146">
              <w:rPr>
                <w:rFonts w:ascii="Cambria Math" w:eastAsia="Times New Roman" w:hAnsi="Cambria Math" w:cs="Cambria Math"/>
                <w:i/>
                <w:iCs/>
                <w:color w:val="000000"/>
                <w:sz w:val="22"/>
                <w:lang w:val="en-US"/>
              </w:rPr>
              <w:t>․․․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մար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</w:t>
            </w:r>
            <w:proofErr w:type="spellEnd"/>
          </w:p>
        </w:tc>
      </w:tr>
      <w:tr w:rsidR="00847146" w:rsidRPr="00847146" w14:paraId="4EF84267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B0C0A0"/>
              <w:left w:val="outset" w:sz="6" w:space="0" w:color="B0C0A0"/>
              <w:bottom w:val="outset" w:sz="6" w:space="0" w:color="B0C0A0"/>
              <w:right w:val="outset" w:sz="6" w:space="0" w:color="B0C0A0"/>
            </w:tcBorders>
            <w:shd w:val="clear" w:color="auto" w:fill="CCCCCC"/>
            <w:vAlign w:val="center"/>
            <w:hideMark/>
          </w:tcPr>
          <w:p w14:paraId="45EED351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Սահմանամերձ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բնակավայր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D9D4B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եթե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հանդիսանում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սահմանամերձ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ծրագիր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իրականացնող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ո՞ր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բնակավայրը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բնակավայրերն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հանդիսանում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սահմանամերձ</w:t>
            </w:r>
            <w:proofErr w:type="spellEnd"/>
          </w:p>
        </w:tc>
      </w:tr>
      <w:tr w:rsidR="00847146" w:rsidRPr="00847146" w14:paraId="0906F2CB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5184282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Բարձր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լեռնային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բնակավայրի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BC4DF1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եթե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ծրագիր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իրականացնող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բնակավայրը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բնակավայրերը</w:t>
            </w:r>
            <w:proofErr w:type="spellEnd"/>
            <w:r w:rsidRPr="00847146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հանդիսանում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է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բարձր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լեռնային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համայն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ք</w:t>
            </w:r>
            <w:proofErr w:type="spellEnd"/>
          </w:p>
        </w:tc>
      </w:tr>
      <w:tr w:rsidR="00847146" w:rsidRPr="00847146" w14:paraId="2B14140B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A9CF9DC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գլխավոր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հատակագծի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առկայություն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2A5BE5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Այո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/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ոչ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,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Այո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-ի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հաստատման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ամսաթիվը</w:t>
            </w:r>
            <w:proofErr w:type="spellEnd"/>
          </w:p>
        </w:tc>
      </w:tr>
      <w:tr w:rsidR="00847146" w:rsidRPr="00847146" w14:paraId="4475F00C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C51B826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ծրագիր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իրականացվող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բնակավայրի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բնակավայրերի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ենթակառուցվածքների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հակիրճ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տեղեկատվություն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՝</w:t>
            </w:r>
            <w:r w:rsidRPr="0084714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հստակ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նշելով</w:t>
            </w:r>
            <w:proofErr w:type="spellEnd"/>
            <w:r w:rsidRPr="00847146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՝</w:t>
            </w:r>
          </w:p>
          <w:p w14:paraId="26124E97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ջրամատակարարման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ջրահեռացման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համակարգից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օգտվող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բնակչության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տոկոսը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ջրամատակարարման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տևողությունը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,</w:t>
            </w:r>
          </w:p>
          <w:p w14:paraId="275DC6F5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գազամատակարարման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համակարգից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օգտվող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բնակչության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տոկոսը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,</w:t>
            </w:r>
          </w:p>
          <w:p w14:paraId="53A65F26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lastRenderedPageBreak/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ոռոգման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համակարգից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օգտվող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բնակչության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տոկոսը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գյուղատնտեսական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հողերից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ոռոգվող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հողատարածքների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տոկոսը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,</w:t>
            </w:r>
          </w:p>
          <w:p w14:paraId="309D0CD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լուսավորության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համակարգի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առկայությամբ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փողոցների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տոկոսը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ընդհանուր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փողոցների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մեջ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էներգախնայող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ԼԵԴ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լուսավորություն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է,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թե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ոչ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2A4B8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lastRenderedPageBreak/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բնակավայրի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ջրամատակարարման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ջրահեռացման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էլեկտրագազամատակարարման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ոռոգման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փողոցային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լուսավորության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վիճակի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տեղեկատվություն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։</w:t>
            </w:r>
          </w:p>
        </w:tc>
      </w:tr>
      <w:tr w:rsidR="00847146" w:rsidRPr="00847146" w14:paraId="45136A14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86E7F4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ընդհանուր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նկարագրությունը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դրա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անհրաժեշտությունը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D758E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Մանրամասն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նկարագրել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թե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որոնք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առկա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կոնկրետ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խնդիրները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որոնք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պետք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լուծել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ընդհանուր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նպատակին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ակնկալվող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արդյունքներին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հասնելու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: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Խնդիրները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պետք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լինեն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հնարավորինս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կոնկրետ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չափելի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իրատեսական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անհրաժեշտությունը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հիմնավորող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բացատրագիր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</w:tc>
      </w:tr>
      <w:tr w:rsidR="00847146" w:rsidRPr="00847146" w14:paraId="53D7C376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D96287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ակնկալվող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արդյունքները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որոնց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միջոցով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պետք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հասնել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նպատակին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58B23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որոնց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պետք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հասնել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շրջանակներում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վերջինիս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նպատակին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հասնելու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համապատասխանելիությունը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ծրագիր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իրականացնող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բնակավայրի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բնակավայրերի</w:t>
            </w:r>
            <w:proofErr w:type="spellEnd"/>
            <w:r w:rsidRPr="00847146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զարգացման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ռազմավարության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հետ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և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դրանց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իրագործման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շոշափելի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ազդեցությունը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և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երկարաժամկետ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կտրվածքով</w:t>
            </w:r>
            <w:proofErr w:type="spellEnd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։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թե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ինչպե՞ս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կփոխվի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ծրագիր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իրականացնող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բնակավայրի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բնակավայրերի</w:t>
            </w:r>
            <w:proofErr w:type="spellEnd"/>
            <w:r w:rsidRPr="00847146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բնակչության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ապրելակերպը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և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կյանքի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որակը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ավարտից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հետո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և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երկարաժամկետ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ազդեցությունները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: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Հիմնավորել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ցույց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տալով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կապը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շրջանակներում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լուծվող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խնդիրների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և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իրականացվող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գ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ործունեության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Սպասվող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նկարագրությունը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պետք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լինի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հնարավորինս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կոնկրետ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իրատեսական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գնահատելի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չափելի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</w:tc>
      </w:tr>
      <w:tr w:rsidR="00847146" w:rsidRPr="00847146" w14:paraId="74CA2215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72688D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արդյունքներին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հասնելու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գործողությունները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միջոցառումները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1A52B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Մանրամասն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նկարագրել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շրջանակներում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նախատեսվող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գործողություններն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միջոցառումները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ժամկետները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որոնք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պետք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լինեն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հստակ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չափելի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Մանրամասն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իրականացվող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աշխատանքների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ծավալները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շինարարական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աշխատանքների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ծավալները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նախադպրոցական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հաստատությունների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հանրային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շենք-շինությունների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բազմաբնակարան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շենքերի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քաղաքացիական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պաշտպանության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ենթակառուցվածքների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ապաստարանների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մակերեսները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տանիքների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վերակառուցման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նորոգման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տանիքների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մակերեսները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իսկ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ԷԽ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միջոցառումների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շենքերի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ծավալները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),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կառուցվող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նորոգվող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փողոցների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մայթերի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երկարություններն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մակերեսները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ջրամատակարարման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կոյուղու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ոռոգման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գազի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խողովակների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երկարությունները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lastRenderedPageBreak/>
              <w:t>նկարագրությունները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լուսավորության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հաղորդալարերի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երկարությունները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հենասյուների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քանակը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լուսատուների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(ԼԵԴ)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նկարագրությունները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օպտիկամալուխային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հաղորդալարերի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երկարությունները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թողունակությունները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։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Ընդ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որում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անհրաժեշտ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առանձին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օպտիկամալուխային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կապի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սպասարկման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մրցութային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գործընթացի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արդյունքներով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ընտրված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օպերատորի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սպասարկման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տեղեկանքը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</w:tc>
      </w:tr>
      <w:tr w:rsidR="00847146" w:rsidRPr="00847146" w14:paraId="71B61245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8A7A11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lastRenderedPageBreak/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արդյունքում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սեփականության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իրավունքով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պատկանող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հիմնական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միջոցների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արժեքի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ավելացում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բացառությամբ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բազմաբնակարան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շենքերի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ընդհանուր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բաժնային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սեփականության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գույքի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98A2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թե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իրականացումն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ինչ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ազդեցություն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կունենա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սեփականության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իրավունքով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պատկանող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հիմնական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միջոցների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արժեքի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վրա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մասնավորապես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գույքը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վրա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պլանավորվում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ազդեցությունը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սեփականության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իրավունքով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պատկանում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նախատեսվող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կապիտալ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բնույթի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</w:tc>
      </w:tr>
      <w:tr w:rsidR="00847146" w:rsidRPr="00847146" w14:paraId="26BD2816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E7D6ED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ազդեցությունը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շահառուների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վրա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D37AA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-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ուղղակի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շահառուների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քանակը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>-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շահառուների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վրա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եկամտի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ավելացման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, և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խնայողությունների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ավելացման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հարմարավետության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ապահովման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չափը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>-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Խմելու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ջրի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ջրահեռացման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համակարգի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համակարգից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օգտվող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տնային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տնտեսությունների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ջրամատակարարման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որակը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տևողությունը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` ժ/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օր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ջրի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կորստի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նվազեցման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չափը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>-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Ոռոգման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համակարգի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ոռոգվող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տարածքը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,</w:t>
            </w:r>
            <w:r w:rsidRPr="00847146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կցել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քարտեզագրված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պատկերը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համակարգից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օգտվող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գյուղացիական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տնտեսությունների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>-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Փողոցների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կառուցման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նորոգման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փողոցային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լուսավորության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փողոցի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գլխավոր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երկրորդային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լինելը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փողոցի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նպատակային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կիրառությունը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դպրոցին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արդյունաբերական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տարածքին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զբոսաշրջային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վայրերին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հարակից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լինելը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փողոցի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անվանումները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կցել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հատակագծերով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սահմանված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փողոցի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ընդգծված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պատկերը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ստորգետնյա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ենթակառուցվածքների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տեղեկատվությունը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։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>-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Հանրային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շենքերում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ֆոտովոլտային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կայանների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տեղադրման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շահառուների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արտադրվող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էներգիայի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քանակը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էներգախնայողության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չափը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արտադրվող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էներգիայի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մասնաբաժինն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ընդհանուր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էլեկտրաէներգիայի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մեջ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>-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Մեքենասարքավորումների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ձեռքբերման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շահագործումից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օգտվող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բնակչության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սպասարկվող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տարածքի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չափը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կցել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կնքված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երաշխավորագիրը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մեքենասարքավորումների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սպասարկման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պահպանման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շահագործումից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ստացվող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եկամուտները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բյուջե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ուղղելու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բնակչության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հասանելիության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Հանրային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շենքերի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վերանորոգման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կառուցման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շահառուների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սպասարկվող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բնակչության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ստեղծվող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աշխատատեղերի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այլընտրանքի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lastRenderedPageBreak/>
              <w:t>առկայությունը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։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>-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Այգիների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պուրակների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կառուցում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բարեկարգում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շահառուների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զբոսաշրջային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կենտրոնից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պատմամշակութային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հուշարձաններից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հեռավորությունը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տարածք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այցելող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զբոսաշրջիկների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տարեկան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-</w:t>
            </w:r>
            <w:r w:rsidRPr="00847146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Գազամատակարարման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՝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արդյունքում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գազամատակարարման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համակարգից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օգտվող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տնային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տնտեսությունների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։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Նախադպրոցական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հաստատությունների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կառուցման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նորոգման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հաստատության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ջեռուցման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ամբողջական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գույքի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ապահովման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նախատեսվող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միջոցառումների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տեղեկատվությունը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նախադպրոցական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սաների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ստեղծվող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աշխատատեղերի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։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Բազմաբնակարան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շենքերի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ընդհանուր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բաժնային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սեփականության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գույքի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վերանորոգման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էներգախնայողության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միջոցառումների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կիրառմամբ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շենքերի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բնակարանների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բնակիչների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։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Հեռագնա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արոտների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ճանապարհների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բարելավման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ճանապարհներից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օգտվող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գյուղացիական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տնտեսությունների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հեռավար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արոտների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մակերեսները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։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Oպտիկամանրաթելային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ցանցի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կապուղու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կառուցման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բարելավման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ցանցից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օգտվող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բաժանորդների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քաղաքացիների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հանրային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օբյեկտների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կազմակերպությունների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։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Քաղաքացիական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պաշտպանության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ենթակառուցվածքների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ապաստարանների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կառուցման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նորոգման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հնարավոր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պաշտպանվող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պատսպարվող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բնակչության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թիվը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։</w:t>
            </w:r>
          </w:p>
        </w:tc>
      </w:tr>
      <w:tr w:rsidR="00847146" w:rsidRPr="00847146" w14:paraId="5229445E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B797BA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lastRenderedPageBreak/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ընթացքում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ստեղծվող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ժամանակավոր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հիմնական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աշխատատեղերի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քանակը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դրանց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49C34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ընթացքում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ստեղծվող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ժամանակավոր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հիմնական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աշխատատեղերը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արդյունքում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նախատեսվող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հիմնական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աշխատատեղերը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այդ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թվում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մասնավոր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հատվածի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համայնքապետարանի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նախատեսվող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հիմնական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աշխատատեղերի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քանակը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նկարագրությունը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</w:tc>
      </w:tr>
      <w:tr w:rsidR="00847146" w:rsidRPr="00847146" w14:paraId="570D914F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4309CF2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նախորդ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բյուջեն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բյուջեի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կատարողականը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1BEBE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Նախորդ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բյուջեն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` …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.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նախորդ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բյուջեն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կատարողականը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առանձնացնելով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բյուջեի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վարչական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ֆոնդային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իսկ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բյուջեի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ֆոնդային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մասից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առանձին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բացվածքով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5"/>
              <w:gridCol w:w="742"/>
              <w:gridCol w:w="1301"/>
              <w:gridCol w:w="817"/>
            </w:tblGrid>
            <w:tr w:rsidR="00847146" w:rsidRPr="00847146" w14:paraId="46A30D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FF35CB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BFA47C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Պլանը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15E68F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Փաստացին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3B0105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Տոկոսը</w:t>
                  </w:r>
                  <w:proofErr w:type="spellEnd"/>
                </w:p>
              </w:tc>
            </w:tr>
            <w:tr w:rsidR="00847146" w:rsidRPr="00847146" w14:paraId="25438B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473563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Ընդամենը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՝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համայնքի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եկամուտները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br/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այդ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թվում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D7FD8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268A9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9FE5E7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69654C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5E1DD0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-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Վարչական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եկամուտներ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,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որից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AA712E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C4C987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741562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5C8CA8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35E807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Սեփական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եկամուտներ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134097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A1B7F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1C94FE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3369A0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316985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-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Ֆոնդային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եկամուտներ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A9E284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63BB90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1F8CCE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1CF721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456DE6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lastRenderedPageBreak/>
                    <w:t>Ընդամենը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՝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համայնքի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ծախսեր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,</w:t>
                  </w:r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br/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որից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961015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F3D576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50F5EB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67A8D5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CCD8E8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Վարչական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ծախսեր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AA18F9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8CB006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49860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513EA4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100B23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-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Ֆոնդային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ծախսեր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88306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B6C952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563511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37E63D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40FA22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Համայնքի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ֆոնդային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փաստացի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ծախսերը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,</w:t>
                  </w:r>
                  <w:r w:rsidRPr="00847146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sz w:val="22"/>
                      <w:lang w:val="en-US"/>
                    </w:rPr>
                    <w:t> 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որից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C8D068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EFE88B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B8F045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052BE9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CDF342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ճանապարհաշինություն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F9DAD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4DE006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97FF59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49EEE0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B809A0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ջրամատակարարում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55EB09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267CA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89FE54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6F92F8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1EDA7C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փողոցային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լուսավորություն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B0A6F4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01CBA9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EEF753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74893E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506BAB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գյուղատնտեսություն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3F80D2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3DE250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1FF1B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789480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22CA0B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ADDA57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9E2D58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3E7ED6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66DD79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12A782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B11BF1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89ADD0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DDE66C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</w:tbl>
          <w:p w14:paraId="5981790B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</w:tr>
      <w:tr w:rsidR="00847146" w:rsidRPr="00847146" w14:paraId="5A33DAF3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E8C5645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lastRenderedPageBreak/>
              <w:t>Համայնքի</w:t>
            </w:r>
            <w:proofErr w:type="spellEnd"/>
            <w:r w:rsidRPr="0084714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ընթացիկ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բյուջեն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6755A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......</w:t>
            </w:r>
            <w:r w:rsidRPr="008471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.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ընթացիկ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կանխատեսվող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եկամուտները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պլանավորված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առանձնացնելով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բյուջեի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վարչական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ֆոնդային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իսկ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բյուջեի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ֆոնդային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մասից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պլանավորված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առանձին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բացվածքով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3"/>
              <w:gridCol w:w="742"/>
            </w:tblGrid>
            <w:tr w:rsidR="00847146" w:rsidRPr="00847146" w14:paraId="0DDD97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60C0D5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D27BA1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Պլանը</w:t>
                  </w:r>
                  <w:proofErr w:type="spellEnd"/>
                </w:p>
              </w:tc>
            </w:tr>
            <w:tr w:rsidR="00847146" w:rsidRPr="00847146" w14:paraId="3A60EA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0C8BD7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Ընդամենը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՝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համայնքի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եկամուտների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պլանավորում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br/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այդ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թվում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5D7BBD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167AEC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04F5D3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Վարչական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եկամուտներ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,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որից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5776F1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570396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DCE686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սեփական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եկամուտներ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84642B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34860F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9F13D6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Ֆոնդային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եկամուտներ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C8C04C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68D4E7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07F78B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Ընդամենը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՝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համայնքի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ծախսեր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,</w:t>
                  </w:r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br/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որից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B04F09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63F49D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BA8FC6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Վարչական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ծախսեր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2A831B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716C43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46E576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-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Ֆոնդային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ծախսեր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DDBB6E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38A417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648078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Համայնքի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ֆոնդային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պլանավորված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ծախսերը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2"/>
                      <w:lang w:val="en-US"/>
                    </w:rPr>
                    <w:t>,</w:t>
                  </w:r>
                  <w:r w:rsidRPr="00847146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sz w:val="22"/>
                      <w:lang w:val="en-US"/>
                    </w:rPr>
                    <w:t> 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որից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A178CC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2A57CD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37D06C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437E7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06F044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72EC9C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EBD8FE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5B7BCD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75D7CF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E4F445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68BDAF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7E6725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47CE30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2A2AC3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00A877" w14:textId="77777777" w:rsidR="00847146" w:rsidRPr="00847146" w:rsidRDefault="00847146" w:rsidP="00847146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4BC754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</w:tbl>
          <w:p w14:paraId="458D5648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</w:tr>
      <w:tr w:rsidR="00847146" w:rsidRPr="00847146" w14:paraId="24E76A86" w14:textId="77777777" w:rsidTr="00847146">
        <w:trPr>
          <w:tblCellSpacing w:w="22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2639178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ծախսերի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05F5F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Հաստատված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ծախսերի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սուբվենցիոն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բյուջեն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` …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.</w:t>
            </w:r>
          </w:p>
        </w:tc>
      </w:tr>
      <w:tr w:rsidR="00847146" w:rsidRPr="00847146" w14:paraId="0E5FBBA2" w14:textId="77777777" w:rsidTr="00847146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E5432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0E0E0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Հաստատված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ծախսերի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սուբվենցիոն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տարվան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հաջորդող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բյուջեն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` …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.</w:t>
            </w:r>
          </w:p>
        </w:tc>
      </w:tr>
      <w:tr w:rsidR="00847146" w:rsidRPr="00847146" w14:paraId="5923017F" w14:textId="77777777" w:rsidTr="00847146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DE98E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5ACCC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տարվան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հաջորդող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ծախսերի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նախատեսված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եկամուտները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ծախսերը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առանձնացնելով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բյուջեի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վարչական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ֆոնդային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իսկ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բյուջեի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ֆոնդային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lastRenderedPageBreak/>
              <w:t>մասից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նախատեսված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ծախսերը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առանձին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բացվածքով</w:t>
            </w:r>
            <w:proofErr w:type="spellEnd"/>
          </w:p>
        </w:tc>
      </w:tr>
      <w:tr w:rsidR="00847146" w:rsidRPr="00847146" w14:paraId="6568EF6A" w14:textId="77777777" w:rsidTr="00847146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D5ADA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3"/>
              <w:gridCol w:w="1541"/>
              <w:gridCol w:w="1541"/>
            </w:tblGrid>
            <w:tr w:rsidR="00847146" w:rsidRPr="00847146" w14:paraId="549413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931E62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01707D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Ծրագրի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իրականացման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տարի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4551E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Ծրագրի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իրականացման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տարվան</w:t>
                  </w:r>
                  <w:proofErr w:type="spellEnd"/>
                </w:p>
                <w:p w14:paraId="4F644411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հաջորդող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տարի</w:t>
                  </w:r>
                  <w:proofErr w:type="spellEnd"/>
                </w:p>
              </w:tc>
            </w:tr>
            <w:tr w:rsidR="00847146" w:rsidRPr="00847146" w14:paraId="1659A3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C2881E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Ընդամենը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՝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համայնքի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եկամուտներ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՝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ըստ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հաստատված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միջնաժամկետ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ծախսերի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ծրագրի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,</w:t>
                  </w:r>
                </w:p>
                <w:p w14:paraId="74ECC54E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այդ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թվում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5A3C72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CDA5AD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4F78C7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E36F67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Վարչական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եկամուտներ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,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որից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357179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4F0B7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420652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7BF51C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Սեփական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եկամուտներ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770EE3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82DA88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0E9B81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97A9BB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Ֆոնդային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եկամուտներ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572B5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27BD72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628FEEB7" w14:textId="77777777">
              <w:trPr>
                <w:trHeight w:val="78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C00EB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Ընդամենը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՝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համայնքի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ծախսեր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,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ըստ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հաստատված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միջնաժամկետ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ծախսերի</w:t>
                  </w:r>
                  <w:proofErr w:type="spellEnd"/>
                </w:p>
                <w:p w14:paraId="2901EC42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ծրագրի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,</w:t>
                  </w: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  <w:proofErr w:type="spellStart"/>
                  <w:r w:rsidRPr="00847146">
                    <w:rPr>
                      <w:rFonts w:ascii="GHEA Grapalat" w:eastAsia="Times New Roman" w:hAnsi="GHEA Grapalat" w:cs="Arial Unicode"/>
                      <w:sz w:val="22"/>
                      <w:lang w:val="en-US"/>
                    </w:rPr>
                    <w:t>որից</w:t>
                  </w:r>
                  <w:proofErr w:type="spellEnd"/>
                  <w:r w:rsidRPr="00847146">
                    <w:rPr>
                      <w:rFonts w:ascii="GHEA Grapalat" w:eastAsia="Times New Roman" w:hAnsi="GHEA Grapalat" w:cs="Arial Unicode"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D16F07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9D2B3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6C9BA3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C5C77C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Վարչական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ծախսեր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82CB32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BA0D43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308E6CFC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E993E0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Ֆոնդային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ծախսեր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DABC57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77FF6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3581DED4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F7DEEE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Համայնքի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ֆոնդային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բյուջեի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ծախսերը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՝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ըստ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հաստատված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միջնաժամկետ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ծախսերի</w:t>
                  </w:r>
                  <w:proofErr w:type="spellEnd"/>
                </w:p>
                <w:p w14:paraId="5A303311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ծրագրի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,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որից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՝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23EE84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82018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669B70B9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4E40BC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ճանապարհաշինություն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163E58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628BD6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21C02179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405D31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ջրամատակարարում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4427E5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BB6937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46AB6276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D0E52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փողոցային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լուսավորություն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F45DAB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BA21B0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29A10EBE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ED2DA6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գյուղատնտեսություն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FCF88C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D7D207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448A8007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BF4B58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BA2AE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0D1279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125FD6D6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5E5EBE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655C78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9918F9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2F940678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C18312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Ենթակառուցվածքների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զարգացմանն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ուղղված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սուբվենցիոն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ծրագրերի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համար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նախատեսված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ծախսերը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,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ըստ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հաստատված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միջնաժամկետ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ծախսերի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ծրագրի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,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այդ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թվում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b/>
                      <w:bCs/>
                      <w:sz w:val="22"/>
                      <w:lang w:val="en-US"/>
                    </w:rPr>
                    <w:t>՝</w:t>
                  </w:r>
                </w:p>
                <w:p w14:paraId="77CE0D45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/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ներկայացնել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սուբվենցիոն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ծրագրերի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համար</w:t>
                  </w:r>
                  <w:proofErr w:type="spellEnd"/>
                </w:p>
                <w:p w14:paraId="36E01811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համայնքի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ֆոնդային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բյուջեից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նախատեսված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գումարները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՝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ըստ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ոլորտների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i/>
                      <w:iCs/>
                      <w:sz w:val="22"/>
                      <w:lang w:val="en-US"/>
                    </w:rPr>
                    <w:t>/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08024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4CC0FA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47177D7D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C906A7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ճանապարհաշինություն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112570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D5FB53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18A1A214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35F22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ջրամատակարարում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/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ջրահեռացում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98E3B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65D4CD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425E4AF1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D3986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փողոցային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լուսավորություն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8B9285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80DAF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2546BAFF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6DE561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գազամատակարարում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058E4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313EE5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56D4F24E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80A061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lastRenderedPageBreak/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նախադպրոցական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հաստատություններ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95779D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1A9BB9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30EA3D91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607BF8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հասարակական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շենքեր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80A693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8301D7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5991D82C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48C0D0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-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գույքի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,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տեխնիկայի</w:t>
                  </w:r>
                  <w:proofErr w:type="spellEnd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ձեռքբերում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19BCEF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7200B4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  <w:tr w:rsidR="00847146" w:rsidRPr="00847146" w14:paraId="2EB60539" w14:textId="77777777">
              <w:trPr>
                <w:tblCellSpacing w:w="0" w:type="dxa"/>
              </w:trPr>
              <w:tc>
                <w:tcPr>
                  <w:tcW w:w="4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1F0792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7241FC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5A2123" w14:textId="77777777" w:rsidR="00847146" w:rsidRPr="00847146" w:rsidRDefault="00847146" w:rsidP="00847146">
                  <w:pPr>
                    <w:spacing w:after="0"/>
                    <w:rPr>
                      <w:rFonts w:ascii="GHEA Grapalat" w:eastAsia="Times New Roman" w:hAnsi="GHEA Grapalat" w:cs="Times New Roman"/>
                      <w:sz w:val="22"/>
                      <w:lang w:val="en-US"/>
                    </w:rPr>
                  </w:pPr>
                  <w:r w:rsidRPr="00847146">
                    <w:rPr>
                      <w:rFonts w:ascii="Calibri" w:eastAsia="Times New Roman" w:hAnsi="Calibri" w:cs="Calibri"/>
                      <w:sz w:val="22"/>
                      <w:lang w:val="en-US"/>
                    </w:rPr>
                    <w:t> </w:t>
                  </w:r>
                </w:p>
              </w:tc>
            </w:tr>
          </w:tbl>
          <w:p w14:paraId="17F321EB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</w:p>
        </w:tc>
      </w:tr>
      <w:tr w:rsidR="00847146" w:rsidRPr="00847146" w14:paraId="5751EF51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B59472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lastRenderedPageBreak/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միջնաժամկետ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ծախսերի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նախատեսված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բյուջետային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մուտքերի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ներառյալ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ֆինանսական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հարթեցման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դոտացիայի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գծով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նախատեսված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մուտքերը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հաշվին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նշված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անհնարինության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հիմնավորումը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հաշվարկ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ներով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C9236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</w:tr>
      <w:tr w:rsidR="00847146" w:rsidRPr="00847146" w14:paraId="6BFCD6D3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D56DE20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ընդհանուր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բյուջեն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այդ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թվում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՝</w:t>
            </w:r>
          </w:p>
          <w:p w14:paraId="08945A74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շինարարական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օբյեկտների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նախագծման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արժեքը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_________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,</w:t>
            </w:r>
          </w:p>
          <w:p w14:paraId="3E5ECC1D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նախագծանախահաշվային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փաստաթղթերի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պետական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փորձաքննության</w:t>
            </w:r>
            <w:proofErr w:type="spellEnd"/>
            <w:r w:rsidRPr="0084714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ծառայության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արժեքը</w:t>
            </w:r>
            <w:proofErr w:type="spellEnd"/>
            <w:r w:rsidRPr="00847146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՝</w:t>
            </w:r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_________ </w:t>
            </w:r>
            <w:proofErr w:type="spellStart"/>
            <w:r w:rsidRPr="00847146">
              <w:rPr>
                <w:rFonts w:ascii="GHEA Grapalat" w:eastAsia="Times New Roman" w:hAnsi="GHEA Grapalat" w:cs="Arial Unicode"/>
                <w:b/>
                <w:bCs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,</w:t>
            </w:r>
          </w:p>
          <w:p w14:paraId="55C9424F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հսկողության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ծառայությունների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արժեքը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՝ _________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,</w:t>
            </w:r>
          </w:p>
          <w:p w14:paraId="2501BF5F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հեղինակային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հսկողության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ծառայությունների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արժեքը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՝ _________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,</w:t>
            </w:r>
          </w:p>
          <w:p w14:paraId="4F175DDA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-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գոյություն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ունեցող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շենք-շինությունների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վիճակի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փորձաքննության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ծառայության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արժեքը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՝ _________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,</w:t>
            </w:r>
          </w:p>
          <w:p w14:paraId="4E7852D4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ինժեներաերկրաբանական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հետազոտության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lastRenderedPageBreak/>
              <w:t>ծառայության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արժեքը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՝ ————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դրամ</w:t>
            </w:r>
            <w:proofErr w:type="spellEnd"/>
          </w:p>
          <w:p w14:paraId="790E78A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առանձին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հասարակական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շենքերի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բազմաբնակարան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շենքերի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ընդհանուր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օգտագործման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գույքի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կառուցման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նորոգման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էներգախնայողության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միջոցառումների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արժեքը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 xml:space="preserve"> _________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7EFF1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lastRenderedPageBreak/>
              <w:t xml:space="preserve">....................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(100%)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Մինչև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ընթացիկ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վերջ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չավարտվող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ծրագրերի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՝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հստակ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առանձնացնել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ընթացիկ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ընթացքում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նախատեսվող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աշխատանքներն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և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հաջորդ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աշխատանքներն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i/>
                <w:iCs/>
                <w:color w:val="000000"/>
                <w:sz w:val="22"/>
                <w:lang w:val="en-US"/>
              </w:rPr>
              <w:t>ծախսեր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ը</w:t>
            </w:r>
            <w:proofErr w:type="spellEnd"/>
          </w:p>
        </w:tc>
      </w:tr>
      <w:tr w:rsidR="00847146" w:rsidRPr="00847146" w14:paraId="14235137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DCA5A88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ներդրվող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մասնաբաժնի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չափը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FF33E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...............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(</w:t>
            </w:r>
            <w:proofErr w:type="gram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....</w:t>
            </w:r>
            <w:r w:rsidRPr="00847146">
              <w:rPr>
                <w:rFonts w:ascii="Cambria Math" w:eastAsia="Times New Roman" w:hAnsi="Cambria Math" w:cs="Cambria Math"/>
                <w:i/>
                <w:iCs/>
                <w:color w:val="000000"/>
                <w:sz w:val="22"/>
                <w:lang w:val="en-US"/>
              </w:rPr>
              <w:t>․</w:t>
            </w:r>
            <w:proofErr w:type="gram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%)</w:t>
            </w:r>
          </w:p>
        </w:tc>
      </w:tr>
      <w:tr w:rsidR="00847146" w:rsidRPr="00847146" w14:paraId="415CA5A7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9EF6D98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Այլ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ներդրողներ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C260D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..........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դրամ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gram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( ...</w:t>
            </w:r>
            <w:proofErr w:type="gram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. %),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նշել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ներդրողի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անունը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</w:tc>
      </w:tr>
      <w:tr w:rsidR="00847146" w:rsidRPr="00847146" w14:paraId="028B1E6D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A4BC4D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տևողությունը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B6FC1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Սկիզբը________________20...թ.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Տևողությունը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__________</w:t>
            </w:r>
          </w:p>
        </w:tc>
      </w:tr>
      <w:tr w:rsidR="00847146" w:rsidRPr="00847146" w14:paraId="00424E2D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E1AF0E0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77A7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Մանրամասն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կցելով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օրենսդրությամբ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սահմանված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կարգով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նախագծանախահաշվային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փաստաթղթերը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Ծրագրով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նախատեսվող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ծախսերը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պետք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լինեն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իրատեսական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ֆինանսական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հաշվարկները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նախահաշիվները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հնարավորինս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հստակ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հիմնավոր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մանրամասն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br/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Սարք-սարքավորումների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ձեռքբերման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ներկայացնել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հնարավորինս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հստակ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հիմնավոր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մանրամասն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բնութագրերը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ֆինանսական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գնահատականները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առնվազն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երեք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կազմակերպությունների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տրված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գնահարցումները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:</w:t>
            </w:r>
          </w:p>
        </w:tc>
      </w:tr>
      <w:tr w:rsidR="00847146" w:rsidRPr="00847146" w14:paraId="63E1BFF9" w14:textId="77777777" w:rsidTr="00847146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ABDBC23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2"/>
                <w:lang w:val="en-US"/>
              </w:rPr>
              <w:t>Ամսաթիվ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74F81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i/>
                <w:iCs/>
                <w:color w:val="000000"/>
                <w:sz w:val="22"/>
                <w:lang w:val="en-US"/>
              </w:rPr>
              <w:t>____ ___________20…թ.</w:t>
            </w:r>
          </w:p>
        </w:tc>
      </w:tr>
    </w:tbl>
    <w:p w14:paraId="668EA648" w14:textId="77777777" w:rsidR="00847146" w:rsidRPr="00847146" w:rsidRDefault="00847146" w:rsidP="00847146">
      <w:pPr>
        <w:shd w:val="clear" w:color="auto" w:fill="FFFFFF"/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p w14:paraId="098E1331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Այլ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տեղեկություններ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մասին</w:t>
      </w:r>
      <w:proofErr w:type="spellEnd"/>
      <w:r w:rsidRPr="00847146">
        <w:rPr>
          <w:rFonts w:ascii="Calibri" w:eastAsia="Times New Roman" w:hAnsi="Calibri" w:cs="Calibri"/>
          <w:b/>
          <w:bCs/>
          <w:color w:val="000000"/>
          <w:sz w:val="22"/>
          <w:lang w:val="en-US"/>
        </w:rPr>
        <w:t> </w:t>
      </w: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(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նշել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լրացուցիչ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հանգամանքները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որոնք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ցույց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կարևորությունը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ակնկալվող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արդյունքների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ազդեցությունը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տարածաշրջանի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զարգացման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վրա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այլ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հանգամանքներ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որոնք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կարող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են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հաշվի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առնվել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ծրագիրը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գնահատելու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ընթացքում</w:t>
      </w:r>
      <w:proofErr w:type="spellEnd"/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):</w:t>
      </w:r>
    </w:p>
    <w:p w14:paraId="2A82FC05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p w14:paraId="7E0B0EA6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Համայնքի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տնտեսական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պատասխանատու</w:t>
      </w:r>
      <w:proofErr w:type="spellEnd"/>
    </w:p>
    <w:p w14:paraId="093DF769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Հեռախոսահամարը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էլեկտրոնային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փոստը</w:t>
      </w:r>
      <w:proofErr w:type="spellEnd"/>
    </w:p>
    <w:p w14:paraId="2949296C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p w14:paraId="76C6E980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color w:val="000000"/>
          <w:sz w:val="22"/>
          <w:lang w:val="en-US"/>
        </w:rPr>
        <w:t>_____________________________________________________________________________</w:t>
      </w:r>
    </w:p>
    <w:p w14:paraId="47F8C877" w14:textId="77777777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5194"/>
      </w:tblGrid>
      <w:tr w:rsidR="00847146" w:rsidRPr="00847146" w14:paraId="5134AF81" w14:textId="77777777" w:rsidTr="00847146">
        <w:trPr>
          <w:tblCellSpacing w:w="7" w:type="dxa"/>
          <w:jc w:val="center"/>
        </w:trPr>
        <w:tc>
          <w:tcPr>
            <w:tcW w:w="0" w:type="auto"/>
            <w:hideMark/>
          </w:tcPr>
          <w:p w14:paraId="2E2F458A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r w:rsidRPr="00847146">
              <w:rPr>
                <w:rFonts w:ascii="Calibri" w:eastAsia="Times New Roman" w:hAnsi="Calibri" w:cs="Calibri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  <w:t>ղեկավար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8B7D79" w14:textId="77777777" w:rsidR="00847146" w:rsidRPr="00847146" w:rsidRDefault="00847146" w:rsidP="00847146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r w:rsidRPr="00847146">
              <w:rPr>
                <w:rFonts w:ascii="Calibri" w:eastAsia="Times New Roman" w:hAnsi="Calibri" w:cs="Calibri"/>
                <w:sz w:val="22"/>
                <w:lang w:val="en-US"/>
              </w:rPr>
              <w:t> </w:t>
            </w:r>
            <w:r w:rsidRPr="00847146">
              <w:rPr>
                <w:rFonts w:ascii="GHEA Grapalat" w:eastAsia="Times New Roman" w:hAnsi="GHEA Grapalat" w:cs="Times New Roman"/>
                <w:b/>
                <w:bCs/>
                <w:sz w:val="22"/>
                <w:lang w:val="en-US"/>
              </w:rPr>
              <w:t>______________________</w:t>
            </w:r>
          </w:p>
          <w:p w14:paraId="10596998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sz w:val="22"/>
                <w:lang w:val="en-US"/>
              </w:rPr>
              <w:t>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sz w:val="22"/>
                <w:lang w:val="en-US"/>
              </w:rPr>
              <w:t>անունը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sz w:val="22"/>
                <w:lang w:val="en-US"/>
              </w:rPr>
              <w:t>ազգանունը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sz w:val="22"/>
                <w:lang w:val="en-US"/>
              </w:rPr>
              <w:t>)</w:t>
            </w:r>
          </w:p>
        </w:tc>
      </w:tr>
    </w:tbl>
    <w:p w14:paraId="6D3DC60C" w14:textId="77777777" w:rsidR="00847146" w:rsidRPr="00847146" w:rsidRDefault="00847146" w:rsidP="00847146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p w14:paraId="75E3A08F" w14:textId="77777777" w:rsidR="00847146" w:rsidRPr="00847146" w:rsidRDefault="00847146" w:rsidP="00847146">
      <w:pPr>
        <w:shd w:val="clear" w:color="auto" w:fill="FFFFFF"/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GHEA Grapalat" w:eastAsia="Times New Roman" w:hAnsi="GHEA Grapalat" w:cs="Times New Roman"/>
          <w:i/>
          <w:iCs/>
          <w:color w:val="000000"/>
          <w:sz w:val="22"/>
          <w:lang w:val="en-US"/>
        </w:rPr>
        <w:t>Կ. Տ</w:t>
      </w:r>
    </w:p>
    <w:p w14:paraId="7B7B9A51" w14:textId="77777777" w:rsidR="00847146" w:rsidRDefault="00847146" w:rsidP="00847146">
      <w:pPr>
        <w:shd w:val="clear" w:color="auto" w:fill="FFFFFF"/>
        <w:spacing w:after="0"/>
        <w:ind w:firstLine="375"/>
        <w:rPr>
          <w:rFonts w:ascii="Calibri" w:eastAsia="Times New Roman" w:hAnsi="Calibri" w:cs="Calibri"/>
          <w:color w:val="000000"/>
          <w:sz w:val="22"/>
          <w:lang w:val="en-US"/>
        </w:rPr>
      </w:pPr>
    </w:p>
    <w:p w14:paraId="4AEB7F94" w14:textId="77777777" w:rsidR="00847146" w:rsidRDefault="00847146" w:rsidP="00847146">
      <w:pPr>
        <w:shd w:val="clear" w:color="auto" w:fill="FFFFFF"/>
        <w:spacing w:after="0"/>
        <w:ind w:firstLine="375"/>
        <w:rPr>
          <w:rFonts w:ascii="Calibri" w:eastAsia="Times New Roman" w:hAnsi="Calibri" w:cs="Calibri"/>
          <w:color w:val="000000"/>
          <w:sz w:val="22"/>
          <w:lang w:val="en-US"/>
        </w:rPr>
      </w:pPr>
    </w:p>
    <w:p w14:paraId="19A87875" w14:textId="77777777" w:rsidR="00847146" w:rsidRDefault="00847146" w:rsidP="00847146">
      <w:pPr>
        <w:shd w:val="clear" w:color="auto" w:fill="FFFFFF"/>
        <w:spacing w:after="0"/>
        <w:ind w:firstLine="375"/>
        <w:rPr>
          <w:rFonts w:ascii="Calibri" w:eastAsia="Times New Roman" w:hAnsi="Calibri" w:cs="Calibri"/>
          <w:color w:val="000000"/>
          <w:sz w:val="22"/>
          <w:lang w:val="en-US"/>
        </w:rPr>
      </w:pPr>
    </w:p>
    <w:p w14:paraId="0E5CCFF4" w14:textId="4D06085C" w:rsidR="00847146" w:rsidRPr="00847146" w:rsidRDefault="00847146" w:rsidP="0084714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lastRenderedPageBreak/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9"/>
        <w:gridCol w:w="4521"/>
      </w:tblGrid>
      <w:tr w:rsidR="00847146" w:rsidRPr="00847146" w14:paraId="2E57C9E2" w14:textId="77777777" w:rsidTr="0084714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A289ED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0B920B1D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/>
              </w:rPr>
              <w:t>Հավելված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N 4</w:t>
            </w:r>
          </w:p>
          <w:p w14:paraId="7CC10BFB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/>
              </w:rPr>
              <w:t>կառավարության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2006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/>
              </w:rPr>
              <w:t>թվականի</w:t>
            </w:r>
            <w:proofErr w:type="spellEnd"/>
          </w:p>
          <w:p w14:paraId="14F5A215" w14:textId="77777777" w:rsidR="00847146" w:rsidRPr="00847146" w:rsidRDefault="00847146" w:rsidP="00847146">
            <w:pPr>
              <w:spacing w:after="0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/>
              </w:rPr>
              <w:t>նոյեմբերի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16-ի N 1708-Ն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en-US"/>
              </w:rPr>
              <w:t>որոշման</w:t>
            </w:r>
            <w:proofErr w:type="spellEnd"/>
          </w:p>
        </w:tc>
      </w:tr>
    </w:tbl>
    <w:p w14:paraId="78E8BD2A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16"/>
          <w:szCs w:val="16"/>
          <w:lang w:val="en-US"/>
        </w:rPr>
        <w:t> </w:t>
      </w:r>
    </w:p>
    <w:p w14:paraId="13ADDAD6" w14:textId="77777777" w:rsidR="00847146" w:rsidRPr="00847146" w:rsidRDefault="00847146" w:rsidP="00847146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Հայաստանի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Հանրապետության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համայնքների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տնտեսական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սոցիալական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ենթակառուցվածքների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զարգացմանն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ուղղված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սուբվենցիաների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տրամադրման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գործընթացում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միջգերատեսչական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հանձնաժողովի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կողմից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հավանության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արժանացած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ծրագրերի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իրականացման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հսկողության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,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մշտադիտարկման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և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ավարտի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փաստագրման</w:t>
      </w:r>
      <w:proofErr w:type="spellEnd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847146">
        <w:rPr>
          <w:rFonts w:ascii="GHEA Grapalat" w:eastAsia="Times New Roman" w:hAnsi="GHEA Grapalat" w:cs="Times New Roman"/>
          <w:b/>
          <w:bCs/>
          <w:color w:val="000000"/>
          <w:sz w:val="22"/>
          <w:lang w:val="en-US"/>
        </w:rPr>
        <w:t>ձև</w:t>
      </w:r>
      <w:proofErr w:type="spellEnd"/>
    </w:p>
    <w:p w14:paraId="16E004CA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p w14:paraId="2B247673" w14:textId="77777777" w:rsidR="00847146" w:rsidRPr="00847146" w:rsidRDefault="00847146" w:rsidP="0084714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2"/>
          <w:lang w:val="en-US"/>
        </w:rPr>
      </w:pPr>
      <w:r w:rsidRPr="00847146">
        <w:rPr>
          <w:rFonts w:ascii="Calibri" w:eastAsia="Times New Roman" w:hAnsi="Calibri" w:cs="Calibri"/>
          <w:color w:val="000000"/>
          <w:sz w:val="22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4785"/>
        <w:gridCol w:w="4623"/>
      </w:tblGrid>
      <w:tr w:rsidR="00847146" w:rsidRPr="00847146" w14:paraId="1AAFC0B4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0F50B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NN</w:t>
            </w:r>
          </w:p>
          <w:p w14:paraId="4125639D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B55DA" w14:textId="77777777" w:rsidR="00847146" w:rsidRPr="00847146" w:rsidRDefault="00847146" w:rsidP="0084714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Գործողությունը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C9618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color w:val="000000"/>
                <w:sz w:val="22"/>
                <w:lang w:val="en-US"/>
              </w:rPr>
              <w:t>Մշտադիտարկումը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r w:rsidRPr="00847146">
              <w:rPr>
                <w:rFonts w:ascii="GHEA Grapalat" w:eastAsia="Times New Roman" w:hAnsi="GHEA Grapalat" w:cs="Arial Unicode"/>
                <w:color w:val="000000"/>
                <w:sz w:val="22"/>
                <w:lang w:val="en-US"/>
              </w:rPr>
              <w:t>և</w:t>
            </w: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color w:val="000000"/>
                <w:sz w:val="22"/>
                <w:lang w:val="en-US"/>
              </w:rPr>
              <w:t>գնահատում</w:t>
            </w: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</w:t>
            </w:r>
            <w:proofErr w:type="spellEnd"/>
          </w:p>
        </w:tc>
      </w:tr>
      <w:tr w:rsidR="00847146" w:rsidRPr="00847146" w14:paraId="227CF95C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07DA6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1355A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«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Գնումների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» 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օրենքով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սահմանված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կարգով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կապալառուի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ընտրության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մրցույթի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հրավեր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։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Հրավերի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տեքստը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տպագրված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հայտարարությունը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894B0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  <w:proofErr w:type="spellStart"/>
            <w:r w:rsidRPr="00847146">
              <w:rPr>
                <w:rFonts w:ascii="GHEA Grapalat" w:eastAsia="Times New Roman" w:hAnsi="GHEA Grapalat" w:cs="Arial Unicode"/>
                <w:color w:val="000000"/>
                <w:sz w:val="22"/>
                <w:lang w:val="en-US"/>
              </w:rPr>
              <w:t>Մրցույթի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color w:val="000000"/>
                <w:sz w:val="22"/>
                <w:lang w:val="en-US"/>
              </w:rPr>
              <w:t>տեղեկատվության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color w:val="000000"/>
                <w:sz w:val="22"/>
                <w:lang w:val="en-US"/>
              </w:rPr>
              <w:t>գրանցումը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r w:rsidRPr="00847146">
              <w:rPr>
                <w:rFonts w:ascii="GHEA Grapalat" w:eastAsia="Times New Roman" w:hAnsi="GHEA Grapalat" w:cs="Arial Unicode"/>
                <w:color w:val="000000"/>
                <w:sz w:val="22"/>
                <w:lang w:val="en-US"/>
              </w:rPr>
              <w:t>և</w:t>
            </w: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color w:val="000000"/>
                <w:sz w:val="22"/>
                <w:lang w:val="en-US"/>
              </w:rPr>
              <w:t>մշտադիտարկումն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Arial Unicode"/>
                <w:color w:val="000000"/>
                <w:sz w:val="22"/>
                <w:lang w:val="en-US"/>
              </w:rPr>
              <w:t>իր</w:t>
            </w: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ականացվում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</w:p>
        </w:tc>
      </w:tr>
      <w:tr w:rsidR="00847146" w:rsidRPr="00847146" w14:paraId="4FC8EC64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76F49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25193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գնումների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արդյունքներն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ամփոփող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նիստերի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արձանագրությունը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502C86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Արձանագրությունների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գրանցումը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մշտադիտարկումն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</w:p>
        </w:tc>
      </w:tr>
      <w:tr w:rsidR="00847146" w:rsidRPr="00847146" w14:paraId="43283F87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1AA38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C03C8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կառավարության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2017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թվականի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մայիսի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4-ի N 526-Ն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որոշմամբ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հաստատված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գնումների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գործընթացի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կազմակերպման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կարգի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դրույթների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համաձայն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hամայնքի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կապալառուի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մատակարարի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պայմանագրի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պայմանագրի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պատճենի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9D68A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յուրաքանչյուր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սուբվենցիոն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կապալառուի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մատակարարի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կնքված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պայմանագրերի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հավաքագրում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մշտադիտարկում</w:t>
            </w:r>
            <w:proofErr w:type="spellEnd"/>
          </w:p>
        </w:tc>
      </w:tr>
      <w:tr w:rsidR="00847146" w:rsidRPr="00847146" w14:paraId="01318877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9FE3F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BBFC8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Յուրաքանչյուր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սուբվենցիոն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նախագծող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ընկերության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աշխատանքներն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կապալառուի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մատակարարի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հսկողություն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լիցենզավորված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կազմակերպության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տվյալների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հավաքագրում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93019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կապալառուի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հսկողություն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կազմակերպությունների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կնքված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պայմանագրերի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մշտադիտարկում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հավաքագրված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տվյալների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հիման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վրա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ստեղծում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տեղեկատվական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բազա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կապալառուի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տվյալների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պայմանագրի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կնքման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ամսաթվի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պայմանագրով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սահմանված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աշխատանքների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ժամկետների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հսկողություն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լիցենզավորված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կազմակերպության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տվյալների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տարածքային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կառավարման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ենթակառուցվածքների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այսուհետ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):</w:t>
            </w:r>
          </w:p>
          <w:p w14:paraId="01F72420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ամփոփում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տեղեկատվությունը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ըստ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անհրաժեշտության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շահագրգիռ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մարմիններին</w:t>
            </w:r>
            <w:proofErr w:type="spellEnd"/>
          </w:p>
        </w:tc>
      </w:tr>
      <w:tr w:rsidR="00847146" w:rsidRPr="00847146" w14:paraId="74D9A64D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CF07B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B298CF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սուբվենցիայի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պատասխանատու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ստորաբաժանման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սահմանում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ներգրավելով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մասնագետին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9D2D25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Յուրաքանչյուր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կատարողականի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ակտի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ընդունում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պատասխանատու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ստորաբաժանման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փաստաթղթերի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</w:t>
            </w:r>
            <w:proofErr w:type="spellEnd"/>
          </w:p>
        </w:tc>
      </w:tr>
      <w:tr w:rsidR="00847146" w:rsidRPr="00847146" w14:paraId="62273D2E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DCB36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9BE8B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հանձնարարականով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ստեղծվում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ոլորտային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մասնագետներից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բաղկացած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մշտադիտարկման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աշխատանքային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խումբ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: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Վերջինիս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սուբվենցիայի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ծրագրերով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աշխատանքների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ընթացքի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որակի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ուսումնասիրության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այցելություններ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ամիսը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2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անգամ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յուրաքանչյուր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FB1DD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Բոլոր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ընթացքի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տեղեկատվության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լուսանկարների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ամիսը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երկու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անգամ</w:t>
            </w:r>
            <w:proofErr w:type="spellEnd"/>
          </w:p>
        </w:tc>
      </w:tr>
      <w:tr w:rsidR="00847146" w:rsidRPr="00847146" w14:paraId="049A70DD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2FC02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A9A96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ոլորտային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մասնագետների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ոլորտային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գերատեսչությունների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մասնագետների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համաձայնությամբ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),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քաղաքաշինության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հրդեհային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անվտանգության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տեսչական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մարմնի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բաժինների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մասնագետների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համաձայնությամբ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որակի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ժամկետների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վերահսկողության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այցելություններ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95FBC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տեղեկանքների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արձանագրությունների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նախարարություն</w:t>
            </w:r>
            <w:proofErr w:type="spellEnd"/>
          </w:p>
        </w:tc>
      </w:tr>
      <w:tr w:rsidR="00847146" w:rsidRPr="00847146" w14:paraId="29FAC5B8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87F4A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680BC7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աշխատանքների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ընթացքի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որակի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համապատասխանելիության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այցելությունների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ընթացքում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թերությունների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բացահայտման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այցելություն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մասնագետների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միջնորդագիր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լրացուցիչ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փորձարկումների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հետազննությունների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անհրաժեշտության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։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առաջարկում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ղեկավարին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որպեսզի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կապալառուն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անհրաժեշտ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հետազոտություններն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փորձարկումներն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միջոցների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հաշվին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կառավարության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2015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թվականի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19-ի N 596-Ն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որոշման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դրույթների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համաձայն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8BF97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տեղեկանքների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փորձարկումների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հետազննությունների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նախարարություն</w:t>
            </w:r>
            <w:proofErr w:type="spellEnd"/>
          </w:p>
        </w:tc>
      </w:tr>
      <w:tr w:rsidR="00847146" w:rsidRPr="00847146" w14:paraId="4B88B4F0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FF0B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42AA9F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Լրացուցիչ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փորձարկումների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85F32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Անհրաժեշտության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դիմում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մասնագիտացված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կառույցներին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լրացուցիչ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հետազննություններ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փորձարկումներ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իրականացնելու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համար</w:t>
            </w:r>
            <w:proofErr w:type="spellEnd"/>
          </w:p>
        </w:tc>
      </w:tr>
      <w:tr w:rsidR="00847146" w:rsidRPr="00847146" w14:paraId="2CA12211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248BB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FD1D34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Սուբվենցիոն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շինարարական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աշխատանքների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կատարողական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ակտերի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կազմում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6239D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կառավարության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2015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թվականի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19-ի N 596-Ն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որոշման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դրույթների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համաձայն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կատարողական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ակտերը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կազմվում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կապալառուի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հսկողություն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անձի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ղեկավարին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hամայնքի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ղեկավարն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շինարարական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աշխատանքներն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ընդունող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հանձնաժողովին</w:t>
            </w:r>
            <w:proofErr w:type="spellEnd"/>
          </w:p>
        </w:tc>
      </w:tr>
      <w:tr w:rsidR="00847146" w:rsidRPr="00847146" w14:paraId="51E656C1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4AC76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8ECE2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Սուբվենցիոն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մեքենասարքավորումների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գույքի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ձեռքբերման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դրանց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փորձարկում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ընդունման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ակտի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կազմում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44E8C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մատակարարի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մասնակցությամբ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մեքենասարքավորումների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գույքի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փորձարկում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ընդունում</w:t>
            </w:r>
            <w:proofErr w:type="spellEnd"/>
          </w:p>
        </w:tc>
      </w:tr>
      <w:tr w:rsidR="00847146" w:rsidRPr="00847146" w14:paraId="4D062D02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9B1ABC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D5200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Սուբվնեցիայի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շինարարական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աշխատանքների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ընդունող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հանձնաժողովի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ստեղծում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1F8A36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Ընդունող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հանձնաժողովի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կազմում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ներգրավվում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կառուցապատողի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կապալառուի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հսկողություն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օրենքով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պայմանագրով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նախատեսված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դեպքերում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հեղինակային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հսկողություն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անձինք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քաղաքաշինության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հրդեհային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անվտանգության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տեսչական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մարմնի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տարածքային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բաժնի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ներկայացուցիչը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օրենքով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վերահսկողական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իրավասություններով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օժտված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շահագրգիռ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պետական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մարմինների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իրավասու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մարմնի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ներկայացուցիչները</w:t>
            </w:r>
            <w:proofErr w:type="spellEnd"/>
          </w:p>
        </w:tc>
      </w:tr>
      <w:tr w:rsidR="00847146" w:rsidRPr="00847146" w14:paraId="697D30A8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97514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D4173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Կատարողական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փաստաթղթերը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ակտերը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)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շինարարության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վարման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մատյանն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ընդունող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հանձնաժողովի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անդամները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ըստ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անհրաժեշտության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կարող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ուսումնասիրել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դրանք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պահանջելով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կառուցապատողից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: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Կատարողական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փաստաթղթերի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դրանց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բացակայության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դեպքում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կապալառուն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պարտավոր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միջոցների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հաշվին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վերականգնել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դրանք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`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անհրաժեշտ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հետազոտություններ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փորձարկումներ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կատարելու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միջոցով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4DA0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տեղեկանքները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արձանագրությունները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յուրաքանչյուր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կապալառուի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մատակարարի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միջև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կնքված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պայմանագրերը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նախարարություն</w:t>
            </w:r>
            <w:proofErr w:type="spellEnd"/>
          </w:p>
        </w:tc>
      </w:tr>
      <w:tr w:rsidR="00847146" w:rsidRPr="00847146" w14:paraId="4D2A9889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08F61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491BDC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ոլորտային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մասնագետների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ոլորտային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գերատեսչությունների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մասնագետների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քաղաքաշինության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հրդեհային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անվտանգության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տեսչական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մարմնի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կառույցների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համաձայնությամբ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մասնագետների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ավարտված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շինարարական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աշխատանքների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որակի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վերահսկողության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այցելություններ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E936C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Այցելության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արդյունքներով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թերությունների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առկայության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տեղեկատվություն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ղեկավարին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նախարարությանը</w:t>
            </w:r>
            <w:proofErr w:type="spellEnd"/>
          </w:p>
        </w:tc>
      </w:tr>
      <w:tr w:rsidR="00847146" w:rsidRPr="00847146" w14:paraId="0589CE6A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A94CF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BCF9F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Ավարտված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շինարարության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փաստագրում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8DB82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Ավարտված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շինարարական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օբյեկտի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հաստատված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նախագծին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նորմատիվատեխնիկական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փաստաթղթերի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պարտադիր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պահանջներին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հավաստվում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ընդունող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հանձնաժողովի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ակտով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հիմնավորվում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կատարողական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փաստաթղթերով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օբյեկտի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վիճակի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շահագործման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ենթակա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լինելու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հետազննության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դրական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եզրակացություններով</w:t>
            </w:r>
            <w:proofErr w:type="spellEnd"/>
          </w:p>
        </w:tc>
      </w:tr>
      <w:tr w:rsidR="00847146" w:rsidRPr="00847146" w14:paraId="47B73603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0773A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AA0D1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Շինարարական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օբյեկտների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ավարտական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ակտի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շահագործման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թույլտվության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ձևակերպում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ղեկավարի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86D55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ՀՀ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կառավարության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2015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թվականի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9-ի N 596-Ն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որոշման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դրույթների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համաձայն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ղեկավարը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հիմք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ընդունելով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ընդունող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հանձնաժողովի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ակտը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հաստատում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օբյեկտի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ավարտական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ակտը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շահագործման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թույլտվությունը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)</w:t>
            </w:r>
          </w:p>
        </w:tc>
      </w:tr>
      <w:tr w:rsidR="00847146" w:rsidRPr="00847146" w14:paraId="20DBF6EA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FECA7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69B2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ավարտ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փակում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BB3B39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ավարտի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փակման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վերաբերյալ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լուսանկարներով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հոդվածներով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այլն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hամապատասխան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։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Մարզպետարանը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ներկայացնում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նախարարություն</w:t>
            </w:r>
            <w:proofErr w:type="spellEnd"/>
          </w:p>
        </w:tc>
      </w:tr>
      <w:tr w:rsidR="00847146" w:rsidRPr="00847146" w14:paraId="09ECF975" w14:textId="77777777" w:rsidTr="00847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C367E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33E30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ավարտից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հետո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մարզպետարանների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ըստ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անհրաժեշտության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ոլորտային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մասնագետների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ոլորտային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գերատեսչությունների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մասնագետների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համաձայնությամբ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կողմից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իրականացվում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շահագործման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հանձնված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օբյեկտների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ձեռք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բերված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մեքենասարքավորումների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տեխնիկայի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գույքի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կիրառման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օգտագործման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մշտադիտարկման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ու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արդյունավետության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գնահատման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այցելություններ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ծրագրի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ավարտից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հետո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առաջին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տարվա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ընթացքում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տարին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մեկ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անգամ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,</w:t>
            </w:r>
          </w:p>
          <w:p w14:paraId="38D59D0B" w14:textId="77777777" w:rsidR="00847146" w:rsidRPr="00847146" w:rsidRDefault="00847146" w:rsidP="00847146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այնուհետև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ըստ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անհրաժեշտության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66E28" w14:textId="77777777" w:rsidR="00847146" w:rsidRPr="00847146" w:rsidRDefault="00847146" w:rsidP="0084714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</w:pP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Այցելության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արդյունքներով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գնահատված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արդյունավետության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կամ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անարդյունավետության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ինչպես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նաև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շահագործման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ընթացքում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բացահայտվող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թերությունների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առկայության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մասին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եռօրյա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ժամկետում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տեղեկատվություն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է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ներկայացվում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համապատասխան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համայնքի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ղեկավարին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 xml:space="preserve"> և </w:t>
            </w:r>
            <w:proofErr w:type="spellStart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Նախարարություն</w:t>
            </w:r>
            <w:proofErr w:type="spellEnd"/>
            <w:r w:rsidRPr="00847146">
              <w:rPr>
                <w:rFonts w:ascii="GHEA Grapalat" w:eastAsia="Times New Roman" w:hAnsi="GHEA Grapalat" w:cs="Times New Roman"/>
                <w:color w:val="000000"/>
                <w:sz w:val="22"/>
                <w:lang w:val="en-US"/>
              </w:rPr>
              <w:t>։</w:t>
            </w:r>
          </w:p>
        </w:tc>
      </w:tr>
    </w:tbl>
    <w:p w14:paraId="4A47C83E" w14:textId="77777777" w:rsidR="00F12C76" w:rsidRPr="00847146" w:rsidRDefault="00F12C76" w:rsidP="00847146">
      <w:pPr>
        <w:shd w:val="clear" w:color="auto" w:fill="FFFFFF"/>
        <w:spacing w:after="0"/>
        <w:ind w:firstLine="375"/>
        <w:rPr>
          <w:rFonts w:ascii="GHEA Grapalat" w:hAnsi="GHEA Grapalat"/>
          <w:sz w:val="22"/>
        </w:rPr>
      </w:pPr>
    </w:p>
    <w:sectPr w:rsidR="00F12C76" w:rsidRPr="00847146" w:rsidSect="00847146">
      <w:pgSz w:w="11906" w:h="16838" w:code="9"/>
      <w:pgMar w:top="450" w:right="836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46"/>
    <w:rsid w:val="006C0B77"/>
    <w:rsid w:val="00823CC4"/>
    <w:rsid w:val="008242FF"/>
    <w:rsid w:val="00847146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97F8"/>
  <w15:chartTrackingRefBased/>
  <w15:docId w15:val="{1261BABD-5E5C-4BAB-B805-509917AE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14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47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6067</Words>
  <Characters>34588</Characters>
  <Application>Microsoft Office Word</Application>
  <DocSecurity>0</DocSecurity>
  <Lines>288</Lines>
  <Paragraphs>81</Paragraphs>
  <ScaleCrop>false</ScaleCrop>
  <Company/>
  <LinksUpToDate>false</LinksUpToDate>
  <CharactersWithSpaces>40574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Avetyan</dc:creator>
  <cp:keywords/>
  <dc:description/>
  <cp:lastModifiedBy>Narine Avetyan</cp:lastModifiedBy>
  <cp:revision>1</cp:revision>
  <dcterms:created xsi:type="dcterms:W3CDTF">2023-06-22T23:22:00Z</dcterms:created>
  <dcterms:modified xsi:type="dcterms:W3CDTF">2023-06-22T23:26:00Z</dcterms:modified>
</cp:coreProperties>
</file>