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7670B2EE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1C108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2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5C70A774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B730E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Լուսագյուղ</w:t>
      </w:r>
      <w:bookmarkStart w:id="0" w:name="_GoBack"/>
      <w:bookmarkEnd w:id="0"/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47C6DD3B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 2022թ. Օգոստոսի  23-ին ժամը </w:t>
      </w:r>
      <w:r w:rsidR="000222EB" w:rsidRP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0222EB" w:rsidRP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08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A5604"/>
    <w:rsid w:val="000B2782"/>
    <w:rsid w:val="00133615"/>
    <w:rsid w:val="00146B2D"/>
    <w:rsid w:val="00157F7A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406F4C"/>
    <w:rsid w:val="00423237"/>
    <w:rsid w:val="0044619F"/>
    <w:rsid w:val="00505B2B"/>
    <w:rsid w:val="00555D3F"/>
    <w:rsid w:val="00586163"/>
    <w:rsid w:val="005D2D5E"/>
    <w:rsid w:val="005E7A9E"/>
    <w:rsid w:val="006216DE"/>
    <w:rsid w:val="00627C10"/>
    <w:rsid w:val="00655DDC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30E9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dcterms:created xsi:type="dcterms:W3CDTF">2022-07-11T08:05:00Z</dcterms:created>
  <dcterms:modified xsi:type="dcterms:W3CDTF">2022-07-21T09:17:00Z</dcterms:modified>
  <cp:keywords>https://mul2-armavir.gov.am/tasks/244513/oneclick/Fr227221742323421_32-12.docx?token=1a4e4fb7ece2585a356f592b34aeb2dd</cp:keywords>
</cp:coreProperties>
</file>