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3C6952B5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1B73DF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8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452C699B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1B73D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Խորոնք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2213185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24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1B73D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16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1B73DF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</w:t>
      </w:r>
      <w:bookmarkStart w:id="0" w:name="_GoBack"/>
      <w:bookmarkEnd w:id="0"/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09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4619F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890</Words>
  <Characters>5074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48</cp:revision>
  <dcterms:created xsi:type="dcterms:W3CDTF">2022-07-11T08:05:00Z</dcterms:created>
  <dcterms:modified xsi:type="dcterms:W3CDTF">2022-07-21T10:43:00Z</dcterms:modified>
  <cp:keywords>https://mul2-armavir.gov.am/tasks/244513/oneclick/Fr2272217423231021_32-18.docx?token=1bc71eb1ea19de2b88fcf282719cf12f</cp:keywords>
</cp:coreProperties>
</file>