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007E8546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․2-9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142B2B36" w14:textId="7A70D549" w:rsidR="009E7518" w:rsidRPr="00643A96" w:rsidRDefault="00133615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429298D" w14:textId="7E442BD2" w:rsidR="00643A96" w:rsidRPr="00643A96" w:rsidRDefault="00643A96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</w:t>
      </w:r>
      <w:r w:rsidRPr="00643A96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-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օպերատորի</w:t>
      </w:r>
      <w:bookmarkStart w:id="0" w:name="_GoBack"/>
      <w:bookmarkEnd w:id="0"/>
      <w:r w:rsidRPr="00643A96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Ապագա գյուղի վարչական ղեկավարի նստավայրը:</w:t>
      </w:r>
    </w:p>
    <w:p w14:paraId="51587A90" w14:textId="77777777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2DD51A35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23-ին ժամը 10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:00-ին: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08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65496"/>
    <w:rsid w:val="000A5604"/>
    <w:rsid w:val="000B2782"/>
    <w:rsid w:val="00133615"/>
    <w:rsid w:val="00146B2D"/>
    <w:rsid w:val="00157F7A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406F4C"/>
    <w:rsid w:val="00423237"/>
    <w:rsid w:val="0044619F"/>
    <w:rsid w:val="00505B2B"/>
    <w:rsid w:val="00555D3F"/>
    <w:rsid w:val="00586163"/>
    <w:rsid w:val="005D2D5E"/>
    <w:rsid w:val="005E7A9E"/>
    <w:rsid w:val="006216DE"/>
    <w:rsid w:val="00627C10"/>
    <w:rsid w:val="00643A96"/>
    <w:rsid w:val="00655DDC"/>
    <w:rsid w:val="006F2155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dcterms:created xsi:type="dcterms:W3CDTF">2022-07-11T08:05:00Z</dcterms:created>
  <dcterms:modified xsi:type="dcterms:W3CDTF">2022-07-21T08:54:00Z</dcterms:modified>
  <cp:keywords>https://mul2-armavir.gov.am/tasks/244513/oneclick/Fr227221742322121_32-9.docx?token=e2ccee2368514fc3c8a3cf533923cfea</cp:keywords>
</cp:coreProperties>
</file>