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17DBCE2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</w:p>
    <w:p w14:paraId="5C80E1C1" w14:textId="23A4F8DE" w:rsidR="009E7518" w:rsidRDefault="00B1396A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ՄԱՍՆԱԳԵՏ-ՕՊԵՐԱՏՈՐԻ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 w:rsidR="00F415A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․2-</w:t>
      </w:r>
      <w:r w:rsidR="00966CB4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21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88E3EE6" w:rsidR="0044619F" w:rsidRPr="00994351" w:rsidRDefault="00B1396A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մասնագետ-օպերատորի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03D5456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աշխատակազմի քարտուղարի  հանձնարարությունները` ժամանակին և պատշաճ որակով. </w:t>
      </w:r>
    </w:p>
    <w:p w14:paraId="27D429DB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աշխատակազմի քարտուղարին ներկայացնում է իր աշխատանքային ծրագրերը, անհրաժեշտության դեպքում իր լիազորությունների սահմաններում.</w:t>
      </w:r>
    </w:p>
    <w:p w14:paraId="11567B32" w14:textId="5BD68F28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աշխատակազմի քարտուղարի հանձնարարությամբ իրականացնում է  աշխատակա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զմի առջև դրված գործառույթներից ,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խնդիրներից բխող իրավական ակտերի, առաջարկո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ւթյունների, եզրակացությունների , այլ փաստաթղթերի  պահպանության և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արխիվացման աշխատանքները.</w:t>
      </w:r>
    </w:p>
    <w:p w14:paraId="3DC0EF54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աշխատակազմի քարտուղարի հանձնարարությամբ մասնակցում է աշխատակազմի աշխատանքային ծրագրերի  մշակման աշխատանքներին.</w:t>
      </w:r>
    </w:p>
    <w:p w14:paraId="2DAA2BE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ե)սահմանված կարգով ներկայացնում է կիսամյակային և տարեկան հաշվետվություններ կատարած աշխատանքների վերաբերյալ.</w:t>
      </w:r>
    </w:p>
    <w:p w14:paraId="74631435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զ)ստորագրում է իր կողմից պատրաստվող փաստաթղթերը,</w:t>
      </w:r>
    </w:p>
    <w:p w14:paraId="180B268C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է) պարբերաբար ներկայացնում  է հաշվետվություն գանձումների վերաբերյալ, </w:t>
      </w:r>
    </w:p>
    <w:p w14:paraId="7ED294E8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6FA7967E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թ)մասնակցում է համայնքի սեփականության ամենամյա գույքագրման գործընթացին,</w:t>
      </w:r>
    </w:p>
    <w:p w14:paraId="0B4556B0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ժ) կատարում է համակարգչային, տեքստային /օպերատորական/ աշխատանքներ,</w:t>
      </w:r>
    </w:p>
    <w:p w14:paraId="7E1B5B9A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ժա)իրականացնում է համայնքի հարկային եկամուտների (անշարժ գույքի հարկ և փոխադրամիջոցի հարկ) հաշվառում,</w:t>
      </w:r>
    </w:p>
    <w:p w14:paraId="7A960F9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ժբ) կազմակերպում է տեղեկատվական բազայի վարումը, </w:t>
      </w:r>
    </w:p>
    <w:p w14:paraId="0E662AC7" w14:textId="77777777" w:rsidR="00133615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)իրականացնում է սույն պաշտոնի անձնագրով սահմանված այլ լիազորություններ։ </w:t>
      </w:r>
    </w:p>
    <w:p w14:paraId="51587A90" w14:textId="41C59444" w:rsidR="009E7518" w:rsidRDefault="00133615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առաջատար մասնագետ-օպերատորն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53D5D0F0" w14:textId="7BEB8DC9" w:rsidR="00F415AC" w:rsidRDefault="00F415A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 1-ին կարգի մասնագետ-օպերատորի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համար սահմանված է աշխատավայր՝ Արաքս համայնքի </w:t>
      </w:r>
      <w:r w:rsidR="000857C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="00966CB4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Առատաշեն </w:t>
      </w:r>
      <w:r w:rsidR="0043217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գյուղի վարչական ղեկավարի նստավայրը:</w:t>
      </w:r>
    </w:p>
    <w:p w14:paraId="4C5FC34C" w14:textId="572569CB" w:rsidR="0044619F" w:rsidRDefault="0044619F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0EC74BBF" w14:textId="5B07329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առնվազն միջնակարգ կրթություն՝ առանց աշխատանքային ստաժի և փորձի: </w:t>
      </w:r>
    </w:p>
    <w:p w14:paraId="0EB19816" w14:textId="5DE7B9B2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Սահմանադրության, &lt;&lt;Համայնքային ծառայության մասին&gt;&gt;, &lt;&lt; Տեղական ինքնակառավարման մասին&gt;&gt;, &lt;&lt;Նորմատիվ իրավական ակտերի մասին &gt;&gt;, &lt;&lt;Տեղական տուրքերի - վճարների մասին&gt;&gt; Հայաստանի Հանրապետության օրենքների, ՀՀ Հարկային օրենսգիրքի,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4E243239" w14:textId="4CDEA7F3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տիրապետել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անհրաժեշտ տեղեկատվությանը. </w:t>
      </w:r>
    </w:p>
    <w:p w14:paraId="5DA79151" w14:textId="783F1E1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համակարգչով և ժամանակակից այլ տեխնիկական միջոցներով աշխատելու ունակություն։ </w:t>
      </w:r>
    </w:p>
    <w:p w14:paraId="36BF54ED" w14:textId="77777777" w:rsidR="009724DD" w:rsidRDefault="009724DD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4F46B555" w14:textId="62A28246" w:rsidR="009E7518" w:rsidRPr="009E7518" w:rsidRDefault="009E7518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6293903B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4617E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25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966CB4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13</w:t>
      </w:r>
      <w:bookmarkStart w:id="0" w:name="_GoBack"/>
      <w:bookmarkEnd w:id="0"/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:</w:t>
      </w:r>
      <w:r w:rsidR="0043217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4617E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10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</w:t>
      </w:r>
      <w:r w:rsidR="00167E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ամը  09:00-13:00 և 14:00-ից 18: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857C5"/>
    <w:rsid w:val="000A5604"/>
    <w:rsid w:val="000B2782"/>
    <w:rsid w:val="00133615"/>
    <w:rsid w:val="00146B2D"/>
    <w:rsid w:val="00157F7A"/>
    <w:rsid w:val="00167E51"/>
    <w:rsid w:val="001A76FC"/>
    <w:rsid w:val="001B73DF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32179"/>
    <w:rsid w:val="0044619F"/>
    <w:rsid w:val="004617EC"/>
    <w:rsid w:val="00505B2B"/>
    <w:rsid w:val="00555D3F"/>
    <w:rsid w:val="00586163"/>
    <w:rsid w:val="00596A6D"/>
    <w:rsid w:val="005A64F9"/>
    <w:rsid w:val="005D2D5E"/>
    <w:rsid w:val="005E7A9E"/>
    <w:rsid w:val="006216DE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66CB4"/>
    <w:rsid w:val="009724DD"/>
    <w:rsid w:val="00994351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F29C7"/>
    <w:rsid w:val="00DF5914"/>
    <w:rsid w:val="00E03D81"/>
    <w:rsid w:val="00E55ED5"/>
    <w:rsid w:val="00E7784C"/>
    <w:rsid w:val="00EC478D"/>
    <w:rsid w:val="00EF33BF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51</cp:revision>
  <dcterms:created xsi:type="dcterms:W3CDTF">2022-07-11T08:05:00Z</dcterms:created>
  <dcterms:modified xsi:type="dcterms:W3CDTF">2022-07-21T11:16:00Z</dcterms:modified>
  <cp:keywords>https://mul2-armavir.gov.am/tasks/244513/oneclick/Fr2272217423231421_32-21.docx?token=fd8bfcb59b1dccd9b533bb571bf67331</cp:keywords>
</cp:coreProperties>
</file>