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32F" w:rsidRPr="00C43A44" w:rsidRDefault="0038732F" w:rsidP="0038732F">
      <w:pPr>
        <w:jc w:val="center"/>
        <w:rPr>
          <w:rFonts w:ascii="GHEA Grapalat" w:eastAsia="Times New Roman" w:hAnsi="GHEA Grapalat"/>
          <w:b/>
          <w:bCs/>
          <w:sz w:val="24"/>
          <w:szCs w:val="24"/>
          <w:lang w:val="hy-AM"/>
        </w:rPr>
      </w:pPr>
      <w:r w:rsidRPr="00C43A44">
        <w:rPr>
          <w:rFonts w:ascii="GHEA Grapalat" w:eastAsia="Times New Roman" w:hAnsi="GHEA Grapalat"/>
          <w:b/>
          <w:bCs/>
          <w:sz w:val="24"/>
          <w:szCs w:val="24"/>
          <w:lang w:val="hy-AM"/>
        </w:rPr>
        <w:t>ԲՆԱԿԱՐԱՆՆԵՐԻ ԵՎ ԱՆՀԱՏԱԿԱՆ ԲՆԱԿԵԼԻ ՏՆԵՐԻ</w:t>
      </w:r>
    </w:p>
    <w:p w:rsidR="0038732F" w:rsidRDefault="0038732F" w:rsidP="0038732F">
      <w:pPr>
        <w:jc w:val="center"/>
        <w:rPr>
          <w:rFonts w:ascii="GHEA Grapalat" w:eastAsia="Times New Roman" w:hAnsi="GHEA Grapalat"/>
          <w:b/>
          <w:bCs/>
          <w:sz w:val="24"/>
          <w:szCs w:val="24"/>
          <w:lang w:val="hy-AM"/>
        </w:rPr>
      </w:pPr>
      <w:r w:rsidRPr="00A064F5">
        <w:rPr>
          <w:rFonts w:ascii="GHEA Grapalat" w:eastAsia="Times New Roman" w:hAnsi="GHEA Grapalat"/>
          <w:b/>
          <w:bCs/>
          <w:sz w:val="24"/>
          <w:szCs w:val="24"/>
          <w:lang w:val="hy-AM"/>
        </w:rPr>
        <w:t xml:space="preserve"> ԷՆԵՐԳԱԱՐԴՅՈՒՆԱՎԵՏ ՎԵՐԱՆՈՐՈԳՄԱՆ ԱՇԽԱՏԱՆՔՆԵՐԻ</w:t>
      </w:r>
    </w:p>
    <w:p w:rsidR="00665488" w:rsidRDefault="0038732F" w:rsidP="0038732F">
      <w:pPr>
        <w:jc w:val="center"/>
        <w:rPr>
          <w:rFonts w:ascii="GHEA Grapalat" w:eastAsia="Times New Roman" w:hAnsi="GHEA Grapalat" w:cs="Times New Roman"/>
          <w:b/>
          <w:bCs/>
          <w:color w:val="000000"/>
          <w:sz w:val="24"/>
          <w:lang w:val="hy-AM"/>
        </w:rPr>
      </w:pPr>
      <w:r w:rsidRPr="00A064F5">
        <w:rPr>
          <w:rFonts w:ascii="GHEA Grapalat" w:eastAsia="Times New Roman" w:hAnsi="GHEA Grapalat"/>
          <w:b/>
          <w:bCs/>
          <w:sz w:val="24"/>
          <w:szCs w:val="24"/>
          <w:lang w:val="hy-AM"/>
        </w:rPr>
        <w:t xml:space="preserve"> ՊԵՏԱԿԱՆ ԱՋԱԿՑՈՒԹՅԱՆ </w:t>
      </w:r>
      <w:r>
        <w:rPr>
          <w:rFonts w:ascii="GHEA Grapalat" w:eastAsia="Times New Roman" w:hAnsi="GHEA Grapalat" w:cs="Times New Roman"/>
          <w:b/>
          <w:bCs/>
          <w:color w:val="000000"/>
          <w:sz w:val="24"/>
          <w:lang w:val="hy-AM"/>
        </w:rPr>
        <w:t>ԾՐԱԳԻՐ</w:t>
      </w:r>
    </w:p>
    <w:p w:rsidR="0038732F" w:rsidRPr="0038732F" w:rsidRDefault="0038732F" w:rsidP="0038732F">
      <w:pPr>
        <w:jc w:val="center"/>
        <w:rPr>
          <w:rFonts w:ascii="GHEA Grapalat" w:eastAsia="Times New Roman" w:hAnsi="GHEA Grapalat" w:cs="Times New Roman"/>
          <w:bCs/>
          <w:color w:val="000000"/>
          <w:sz w:val="24"/>
          <w:lang w:val="hy-AM"/>
        </w:rPr>
      </w:pPr>
    </w:p>
    <w:p w:rsidR="0038732F" w:rsidRDefault="0038732F" w:rsidP="00C43A44">
      <w:pPr>
        <w:jc w:val="center"/>
        <w:rPr>
          <w:rFonts w:ascii="GHEA Grapalat" w:eastAsia="Times New Roman" w:hAnsi="GHEA Grapalat" w:cs="Times New Roman"/>
          <w:b/>
          <w:bCs/>
          <w:i/>
          <w:color w:val="000000"/>
          <w:sz w:val="24"/>
          <w:u w:val="single"/>
          <w:lang w:val="hy-AM"/>
        </w:rPr>
      </w:pPr>
      <w:r w:rsidRPr="00C43A44">
        <w:rPr>
          <w:rFonts w:ascii="GHEA Grapalat" w:eastAsia="Times New Roman" w:hAnsi="GHEA Grapalat" w:cs="Times New Roman"/>
          <w:b/>
          <w:bCs/>
          <w:i/>
          <w:color w:val="000000"/>
          <w:sz w:val="24"/>
          <w:u w:val="single"/>
          <w:lang w:val="hy-AM"/>
        </w:rPr>
        <w:t>Հաճախ տրվող հարցեր</w:t>
      </w:r>
    </w:p>
    <w:p w:rsidR="00C43A44" w:rsidRPr="00C43A44" w:rsidRDefault="00C43A44" w:rsidP="00C43A44">
      <w:pPr>
        <w:jc w:val="center"/>
        <w:rPr>
          <w:rFonts w:ascii="GHEA Grapalat" w:eastAsia="Times New Roman" w:hAnsi="GHEA Grapalat" w:cs="Times New Roman"/>
          <w:b/>
          <w:bCs/>
          <w:i/>
          <w:color w:val="000000"/>
          <w:sz w:val="24"/>
          <w:u w:val="single"/>
          <w:lang w:val="hy-AM"/>
        </w:rPr>
      </w:pPr>
    </w:p>
    <w:p w:rsidR="006D6C91" w:rsidRPr="006D6C91" w:rsidRDefault="006D6C91" w:rsidP="006D6C91">
      <w:pPr>
        <w:pStyle w:val="ListParagraph"/>
        <w:numPr>
          <w:ilvl w:val="0"/>
          <w:numId w:val="1"/>
        </w:numPr>
        <w:jc w:val="both"/>
        <w:rPr>
          <w:rFonts w:ascii="GHEA Grapalat" w:eastAsia="Times New Roman" w:hAnsi="GHEA Grapalat" w:cs="Times New Roman"/>
          <w:bCs/>
          <w:color w:val="000000"/>
          <w:sz w:val="24"/>
          <w:lang w:val="hy-AM"/>
        </w:rPr>
      </w:pPr>
      <w:r>
        <w:rPr>
          <w:rFonts w:ascii="GHEA Grapalat" w:eastAsia="Times New Roman" w:hAnsi="GHEA Grapalat" w:cs="Times New Roman"/>
          <w:bCs/>
          <w:i/>
          <w:color w:val="000000"/>
          <w:sz w:val="24"/>
          <w:lang w:val="hy-AM"/>
        </w:rPr>
        <w:t>Հարց՝</w:t>
      </w:r>
    </w:p>
    <w:p w:rsidR="006D6C91" w:rsidRDefault="00CA77BA" w:rsidP="006D6C91">
      <w:pPr>
        <w:jc w:val="both"/>
        <w:rPr>
          <w:rFonts w:ascii="GHEA Grapalat" w:eastAsia="Times New Roman" w:hAnsi="GHEA Grapalat" w:cs="Times New Roman"/>
          <w:bCs/>
          <w:color w:val="000000"/>
          <w:sz w:val="24"/>
          <w:lang w:val="hy-AM"/>
        </w:rPr>
      </w:pPr>
      <w:r w:rsidRPr="006D6C91">
        <w:rPr>
          <w:rFonts w:ascii="GHEA Grapalat" w:eastAsia="Times New Roman" w:hAnsi="GHEA Grapalat" w:cs="Times New Roman"/>
          <w:bCs/>
          <w:color w:val="000000"/>
          <w:sz w:val="24"/>
          <w:lang w:val="hy-AM"/>
        </w:rPr>
        <w:t xml:space="preserve">Արդյոք բնակելի տան </w:t>
      </w:r>
      <w:r w:rsidR="00E41894" w:rsidRPr="006D6C91">
        <w:rPr>
          <w:rFonts w:ascii="GHEA Grapalat" w:eastAsia="Times New Roman" w:hAnsi="GHEA Grapalat" w:cs="Times New Roman"/>
          <w:bCs/>
          <w:color w:val="000000"/>
          <w:sz w:val="24"/>
          <w:lang w:val="hy-AM"/>
        </w:rPr>
        <w:t>բակային հատվածներում կատարվող վերանորոգման աշխատանքները և դրանց համար անհրաժեշտ սարքավորումների, ապրանքների և նյութերի ձեռք բերման ծախսերը կարող են դիտարկվել որպես Ծրագրով և Կարգով</w:t>
      </w:r>
      <w:r w:rsidR="006D6C91" w:rsidRPr="006D6C91">
        <w:rPr>
          <w:rFonts w:ascii="GHEA Grapalat" w:eastAsia="Times New Roman" w:hAnsi="GHEA Grapalat" w:cs="Times New Roman"/>
          <w:bCs/>
          <w:color w:val="000000"/>
          <w:sz w:val="24"/>
          <w:lang w:val="hy-AM"/>
        </w:rPr>
        <w:t xml:space="preserve"> սահմանված էներգաարդյունավետության վերանորոգման մի մաս։</w:t>
      </w:r>
    </w:p>
    <w:p w:rsidR="006D6C91" w:rsidRDefault="006D6C91" w:rsidP="00C43A44">
      <w:pPr>
        <w:ind w:firstLine="720"/>
        <w:jc w:val="both"/>
        <w:rPr>
          <w:rFonts w:ascii="GHEA Grapalat" w:eastAsia="Times New Roman" w:hAnsi="GHEA Grapalat" w:cs="Times New Roman"/>
          <w:bCs/>
          <w:i/>
          <w:color w:val="000000"/>
          <w:sz w:val="24"/>
          <w:lang w:val="hy-AM"/>
        </w:rPr>
      </w:pPr>
      <w:r>
        <w:rPr>
          <w:rFonts w:ascii="GHEA Grapalat" w:eastAsia="Times New Roman" w:hAnsi="GHEA Grapalat" w:cs="Times New Roman"/>
          <w:bCs/>
          <w:i/>
          <w:color w:val="000000"/>
          <w:sz w:val="24"/>
          <w:lang w:val="hy-AM"/>
        </w:rPr>
        <w:t>Պատասխան՝</w:t>
      </w:r>
    </w:p>
    <w:p w:rsidR="00C43A44" w:rsidRPr="00C43A44" w:rsidRDefault="00DD196A" w:rsidP="00C43A44">
      <w:pPr>
        <w:spacing w:after="0" w:line="276" w:lineRule="auto"/>
        <w:jc w:val="both"/>
        <w:rPr>
          <w:rFonts w:ascii="GHEA Grapalat" w:eastAsia="Times New Roman" w:hAnsi="GHEA Grapalat" w:cs="Times New Roman"/>
          <w:b/>
          <w:bCs/>
          <w:color w:val="000000"/>
          <w:sz w:val="24"/>
          <w:lang w:val="hy-AM"/>
        </w:rPr>
      </w:pPr>
      <w:r w:rsidRPr="00C43A44">
        <w:rPr>
          <w:rFonts w:ascii="GHEA Grapalat" w:eastAsia="Times New Roman" w:hAnsi="GHEA Grapalat" w:cs="Times New Roman"/>
          <w:b/>
          <w:bCs/>
          <w:color w:val="000000"/>
          <w:sz w:val="24"/>
          <w:lang w:val="hy-AM"/>
        </w:rPr>
        <w:t>Ոչ, չեն կարող</w:t>
      </w:r>
      <w:r w:rsidR="00C43A44" w:rsidRPr="00C43A44">
        <w:rPr>
          <w:rFonts w:ascii="Cambria Math" w:eastAsia="Times New Roman" w:hAnsi="Cambria Math" w:cs="Times New Roman"/>
          <w:b/>
          <w:bCs/>
          <w:color w:val="000000"/>
          <w:sz w:val="24"/>
          <w:lang w:val="hy-AM"/>
        </w:rPr>
        <w:t>․</w:t>
      </w:r>
      <w:r w:rsidRPr="00C43A44">
        <w:rPr>
          <w:rFonts w:ascii="GHEA Grapalat" w:eastAsia="Times New Roman" w:hAnsi="GHEA Grapalat" w:cs="Times New Roman"/>
          <w:b/>
          <w:bCs/>
          <w:color w:val="000000"/>
          <w:sz w:val="24"/>
          <w:lang w:val="hy-AM"/>
        </w:rPr>
        <w:t xml:space="preserve"> </w:t>
      </w:r>
      <w:r w:rsidR="00C43A44" w:rsidRPr="00C43A44">
        <w:rPr>
          <w:rFonts w:ascii="GHEA Grapalat" w:eastAsia="Times New Roman" w:hAnsi="GHEA Grapalat" w:cs="Times New Roman"/>
          <w:b/>
          <w:bCs/>
          <w:color w:val="000000"/>
          <w:sz w:val="24"/>
          <w:lang w:val="hy-AM"/>
        </w:rPr>
        <w:t>ՀՀ կառավարության 2022թ. ապրիլի 15-ի № 520-Լ որոշմամբ հաստատված ծրագրով և մայիսի 26-ի № 775-Լ որոշմամբ հաստատված կարգով էներգաարդյունավետ վերանորոգման օբյեկտ է հանդիսանում բազմաբնակարան շենքի բնակարանը կամ բնակելի տունը, որոնց ընթացիկ նորոգման և ներքին հարդարման աշխատանքները թվարկված են ՀՀ կառավարության 2015 թվականի մարտի 19-ի N 596-Ն որոշմամբ (որոշման N4 հավելվածի 6-րդ կետ):</w:t>
      </w:r>
    </w:p>
    <w:p w:rsidR="00C51A7D" w:rsidRPr="00C43A44" w:rsidRDefault="00C43A44" w:rsidP="00C43A44">
      <w:pPr>
        <w:spacing w:line="276" w:lineRule="auto"/>
        <w:jc w:val="both"/>
        <w:rPr>
          <w:rFonts w:ascii="GHEA Grapalat" w:eastAsia="Times New Roman" w:hAnsi="GHEA Grapalat" w:cs="Times New Roman"/>
          <w:b/>
          <w:bCs/>
          <w:color w:val="000000"/>
          <w:sz w:val="24"/>
          <w:lang w:val="hy-AM"/>
        </w:rPr>
      </w:pPr>
      <w:r w:rsidRPr="00C43A44">
        <w:rPr>
          <w:rFonts w:ascii="GHEA Grapalat" w:eastAsia="Times New Roman" w:hAnsi="GHEA Grapalat" w:cs="Times New Roman"/>
          <w:b/>
          <w:bCs/>
          <w:color w:val="000000"/>
          <w:sz w:val="24"/>
          <w:lang w:val="hy-AM"/>
        </w:rPr>
        <w:t>Հետևաբար, բնակելի տան բակային հատվածներում կատարվող վերանորոգմանն՝ այդ թվում լողավազանների հարդարմանը և դրանց համար անհրաժեշտ սարքավորումների ձեռք բերմանն ու տեղադրմանը, բակային հատվածների սալիկապատմանը, պարսպապատմանը, զրուցարանների  կառուցմանը, արտաքին դարպասների տեղադրմանն ուղղված աշխատանքները չեն կարող դիտարկվել որպես բնակարանի (բնակելի տան) էներգաարդյունավետ վերանորոգման աշխատանքներ կամ դրանց մաս:</w:t>
      </w:r>
      <w:r w:rsidR="00C51A7D" w:rsidRPr="00C43A44">
        <w:rPr>
          <w:rFonts w:ascii="GHEA Grapalat" w:eastAsia="Times New Roman" w:hAnsi="GHEA Grapalat" w:cs="Times New Roman"/>
          <w:b/>
          <w:bCs/>
          <w:color w:val="000000"/>
          <w:sz w:val="24"/>
          <w:lang w:val="hy-AM"/>
        </w:rPr>
        <w:t xml:space="preserve"> </w:t>
      </w:r>
    </w:p>
    <w:p w:rsidR="00C43A44" w:rsidRPr="00DD62BC" w:rsidRDefault="00C43A44" w:rsidP="006D6C91">
      <w:pPr>
        <w:jc w:val="both"/>
        <w:rPr>
          <w:rFonts w:ascii="GHEA Grapalat" w:eastAsia="Times New Roman" w:hAnsi="GHEA Grapalat" w:cs="Times New Roman"/>
          <w:b/>
          <w:bCs/>
          <w:color w:val="000000"/>
          <w:sz w:val="24"/>
          <w:lang w:val="hy-AM"/>
        </w:rPr>
      </w:pPr>
    </w:p>
    <w:p w:rsidR="006D6C91" w:rsidRPr="006D6C91" w:rsidRDefault="006D6C91" w:rsidP="006D6C91">
      <w:pPr>
        <w:pStyle w:val="ListParagraph"/>
        <w:numPr>
          <w:ilvl w:val="0"/>
          <w:numId w:val="1"/>
        </w:numPr>
        <w:jc w:val="both"/>
        <w:rPr>
          <w:rFonts w:ascii="GHEA Grapalat" w:eastAsia="Times New Roman" w:hAnsi="GHEA Grapalat" w:cs="Times New Roman"/>
          <w:bCs/>
          <w:color w:val="000000"/>
          <w:sz w:val="24"/>
          <w:lang w:val="hy-AM"/>
        </w:rPr>
      </w:pPr>
      <w:r>
        <w:rPr>
          <w:rFonts w:ascii="GHEA Grapalat" w:eastAsia="Times New Roman" w:hAnsi="GHEA Grapalat" w:cs="Times New Roman"/>
          <w:bCs/>
          <w:i/>
          <w:color w:val="000000"/>
          <w:sz w:val="24"/>
          <w:lang w:val="hy-AM"/>
        </w:rPr>
        <w:t>Հարց՝</w:t>
      </w:r>
    </w:p>
    <w:p w:rsidR="00CA77BA" w:rsidRPr="006D6C91" w:rsidRDefault="006D6C91" w:rsidP="006D6C91">
      <w:pPr>
        <w:jc w:val="both"/>
        <w:rPr>
          <w:rFonts w:ascii="GHEA Grapalat" w:eastAsia="Times New Roman" w:hAnsi="GHEA Grapalat" w:cs="Times New Roman"/>
          <w:bCs/>
          <w:color w:val="000000"/>
          <w:sz w:val="24"/>
          <w:lang w:val="hy-AM"/>
        </w:rPr>
      </w:pPr>
      <w:r w:rsidRPr="006D6C91">
        <w:rPr>
          <w:rFonts w:ascii="GHEA Grapalat" w:eastAsia="Times New Roman" w:hAnsi="GHEA Grapalat" w:cs="Times New Roman"/>
          <w:bCs/>
          <w:color w:val="000000"/>
          <w:sz w:val="24"/>
          <w:lang w:val="hy-AM"/>
        </w:rPr>
        <w:t>Արդյոք արևային վահանակների տեղադրման նպատակով բնակելի տան տանիք</w:t>
      </w:r>
      <w:r w:rsidR="00EC60DA">
        <w:rPr>
          <w:rFonts w:ascii="GHEA Grapalat" w:eastAsia="Times New Roman" w:hAnsi="GHEA Grapalat" w:cs="Times New Roman"/>
          <w:bCs/>
          <w:color w:val="000000"/>
          <w:sz w:val="24"/>
          <w:lang w:val="hy-AM"/>
        </w:rPr>
        <w:t>ի փոխարինման, ձևափոխման աշխատանք</w:t>
      </w:r>
      <w:r w:rsidRPr="006D6C91">
        <w:rPr>
          <w:rFonts w:ascii="GHEA Grapalat" w:eastAsia="Times New Roman" w:hAnsi="GHEA Grapalat" w:cs="Times New Roman"/>
          <w:bCs/>
          <w:color w:val="000000"/>
          <w:sz w:val="24"/>
          <w:lang w:val="hy-AM"/>
        </w:rPr>
        <w:t>ները կարող են դիտարկվել որպես Ծրագրով և Կարգով սահմանված էներգաարդյունավետության չափանիշներին համապատասխանող միջոցառումներ։</w:t>
      </w:r>
    </w:p>
    <w:p w:rsidR="006D6C91" w:rsidRDefault="006D6C91" w:rsidP="00C43A44">
      <w:pPr>
        <w:ind w:firstLine="720"/>
        <w:jc w:val="both"/>
        <w:rPr>
          <w:rFonts w:ascii="GHEA Grapalat" w:eastAsia="Times New Roman" w:hAnsi="GHEA Grapalat" w:cs="Times New Roman"/>
          <w:bCs/>
          <w:i/>
          <w:color w:val="000000"/>
          <w:sz w:val="24"/>
          <w:lang w:val="hy-AM"/>
        </w:rPr>
      </w:pPr>
      <w:r w:rsidRPr="006D6C91">
        <w:rPr>
          <w:rFonts w:ascii="GHEA Grapalat" w:eastAsia="Times New Roman" w:hAnsi="GHEA Grapalat" w:cs="Times New Roman"/>
          <w:bCs/>
          <w:i/>
          <w:color w:val="000000"/>
          <w:sz w:val="24"/>
          <w:lang w:val="hy-AM"/>
        </w:rPr>
        <w:lastRenderedPageBreak/>
        <w:t>Պատասխան՝</w:t>
      </w:r>
    </w:p>
    <w:p w:rsidR="00DD62BC" w:rsidRDefault="00C43A44" w:rsidP="006D6C91">
      <w:pPr>
        <w:jc w:val="both"/>
        <w:rPr>
          <w:rFonts w:ascii="GHEA Grapalat" w:eastAsia="Times New Roman" w:hAnsi="GHEA Grapalat" w:cs="Times New Roman"/>
          <w:b/>
          <w:bCs/>
          <w:color w:val="000000"/>
          <w:sz w:val="24"/>
          <w:lang w:val="hy-AM"/>
        </w:rPr>
      </w:pPr>
      <w:r>
        <w:rPr>
          <w:rFonts w:ascii="GHEA Grapalat" w:eastAsia="Times New Roman" w:hAnsi="GHEA Grapalat" w:cs="Times New Roman"/>
          <w:b/>
          <w:bCs/>
          <w:color w:val="000000"/>
          <w:sz w:val="24"/>
          <w:lang w:val="hy-AM"/>
        </w:rPr>
        <w:t>Այո․</w:t>
      </w:r>
      <w:r w:rsidR="00EC60DA">
        <w:rPr>
          <w:rFonts w:ascii="GHEA Grapalat" w:eastAsia="Times New Roman" w:hAnsi="GHEA Grapalat" w:cs="Times New Roman"/>
          <w:b/>
          <w:bCs/>
          <w:color w:val="000000"/>
          <w:sz w:val="24"/>
          <w:lang w:val="hy-AM"/>
        </w:rPr>
        <w:t xml:space="preserve"> </w:t>
      </w:r>
      <w:r w:rsidRPr="00C43A44">
        <w:rPr>
          <w:rFonts w:ascii="GHEA Grapalat" w:eastAsia="Times New Roman" w:hAnsi="GHEA Grapalat" w:cs="Times New Roman"/>
          <w:b/>
          <w:bCs/>
          <w:color w:val="000000"/>
          <w:sz w:val="24"/>
          <w:lang w:val="hy-AM"/>
        </w:rPr>
        <w:t>Բնակելի տան տանիքի վերանորոգման, այդ թվում՝ տանիքի ծածկույթի փոխարինման և ծածկի վերանորոգման այն աշխատանքները, որոնք թվարկված են ՀՀ կառավարության 2015 թվականի մարտի 19-ի N 596-Ն որոշման հիշատակված կետով, կարող են դիտարկվել որպես Ծրագրով և Կարգով սահմանված էներգաարդյունավետության չափանիշներին համապատասխանող միջոցառումներ</w:t>
      </w:r>
      <w:r w:rsidR="00DD0355" w:rsidRPr="00DD196A">
        <w:rPr>
          <w:rFonts w:ascii="GHEA Grapalat" w:eastAsia="Times New Roman" w:hAnsi="GHEA Grapalat" w:cs="Times New Roman"/>
          <w:b/>
          <w:bCs/>
          <w:color w:val="000000"/>
          <w:sz w:val="24"/>
          <w:lang w:val="hy-AM"/>
        </w:rPr>
        <w:t>։</w:t>
      </w:r>
    </w:p>
    <w:p w:rsidR="00D745D0" w:rsidRDefault="00D745D0" w:rsidP="006D6C91">
      <w:pPr>
        <w:jc w:val="both"/>
        <w:rPr>
          <w:rFonts w:ascii="GHEA Grapalat" w:eastAsia="Times New Roman" w:hAnsi="GHEA Grapalat" w:cs="Times New Roman"/>
          <w:b/>
          <w:bCs/>
          <w:color w:val="000000"/>
          <w:sz w:val="24"/>
          <w:lang w:val="hy-AM"/>
        </w:rPr>
      </w:pPr>
    </w:p>
    <w:p w:rsidR="00A617CD" w:rsidRPr="00D745D0" w:rsidRDefault="00D745D0" w:rsidP="00C43A44">
      <w:pPr>
        <w:pStyle w:val="ListParagraph"/>
        <w:numPr>
          <w:ilvl w:val="0"/>
          <w:numId w:val="1"/>
        </w:numPr>
        <w:ind w:left="0" w:firstLine="426"/>
        <w:jc w:val="both"/>
        <w:rPr>
          <w:rFonts w:ascii="GHEA Grapalat" w:eastAsia="Times New Roman" w:hAnsi="GHEA Grapalat" w:cs="Times New Roman"/>
          <w:bCs/>
          <w:color w:val="000000"/>
          <w:sz w:val="24"/>
          <w:lang w:val="hy-AM"/>
        </w:rPr>
      </w:pPr>
      <w:r>
        <w:rPr>
          <w:rFonts w:ascii="GHEA Grapalat" w:eastAsia="Times New Roman" w:hAnsi="GHEA Grapalat" w:cs="Times New Roman"/>
          <w:bCs/>
          <w:i/>
          <w:color w:val="000000"/>
          <w:sz w:val="24"/>
          <w:lang w:val="hy-AM"/>
        </w:rPr>
        <w:t>Հարց՝</w:t>
      </w:r>
    </w:p>
    <w:p w:rsidR="00D745D0" w:rsidRDefault="00D745D0" w:rsidP="00C43A44">
      <w:pPr>
        <w:jc w:val="both"/>
        <w:rPr>
          <w:rFonts w:ascii="GHEA Grapalat" w:hAnsi="GHEA Grapalat"/>
          <w:sz w:val="24"/>
          <w:szCs w:val="24"/>
          <w:lang w:val="hy-AM"/>
        </w:rPr>
      </w:pPr>
      <w:r>
        <w:rPr>
          <w:rFonts w:ascii="GHEA Grapalat" w:eastAsia="Times New Roman" w:hAnsi="GHEA Grapalat" w:cs="Times New Roman"/>
          <w:bCs/>
          <w:color w:val="000000"/>
          <w:sz w:val="24"/>
          <w:lang w:val="hy-AM"/>
        </w:rPr>
        <w:t xml:space="preserve">Ով է </w:t>
      </w:r>
      <w:r>
        <w:rPr>
          <w:rFonts w:ascii="GHEA Grapalat" w:hAnsi="GHEA Grapalat"/>
          <w:sz w:val="24"/>
          <w:szCs w:val="24"/>
          <w:lang w:val="hy-AM"/>
        </w:rPr>
        <w:t>հանդիսանում ըն</w:t>
      </w:r>
      <w:r w:rsidRPr="00D745D0">
        <w:rPr>
          <w:rFonts w:ascii="GHEA Grapalat" w:hAnsi="GHEA Grapalat"/>
          <w:sz w:val="24"/>
          <w:szCs w:val="24"/>
          <w:lang w:val="hy-AM"/>
        </w:rPr>
        <w:t xml:space="preserve">տանիքի </w:t>
      </w:r>
      <w:r>
        <w:rPr>
          <w:rFonts w:ascii="GHEA Grapalat" w:hAnsi="GHEA Grapalat"/>
          <w:sz w:val="24"/>
          <w:szCs w:val="24"/>
          <w:lang w:val="hy-AM"/>
        </w:rPr>
        <w:t>անդամ</w:t>
      </w:r>
      <w:r w:rsidR="00C43A44">
        <w:rPr>
          <w:rFonts w:ascii="GHEA Grapalat" w:hAnsi="GHEA Grapalat"/>
          <w:sz w:val="24"/>
          <w:szCs w:val="24"/>
          <w:lang w:val="hy-AM"/>
        </w:rPr>
        <w:t>։</w:t>
      </w:r>
    </w:p>
    <w:p w:rsidR="00D745D0" w:rsidRDefault="00D745D0" w:rsidP="00C43A44">
      <w:pPr>
        <w:ind w:firstLine="720"/>
        <w:jc w:val="both"/>
        <w:rPr>
          <w:rFonts w:ascii="GHEA Grapalat" w:hAnsi="GHEA Grapalat"/>
          <w:i/>
          <w:sz w:val="24"/>
          <w:szCs w:val="24"/>
          <w:lang w:val="hy-AM"/>
        </w:rPr>
      </w:pPr>
      <w:bookmarkStart w:id="0" w:name="_GoBack"/>
      <w:bookmarkEnd w:id="0"/>
      <w:r>
        <w:rPr>
          <w:rFonts w:ascii="GHEA Grapalat" w:hAnsi="GHEA Grapalat"/>
          <w:i/>
          <w:sz w:val="24"/>
          <w:szCs w:val="24"/>
          <w:lang w:val="hy-AM"/>
        </w:rPr>
        <w:t>Պատասխան՝</w:t>
      </w:r>
    </w:p>
    <w:p w:rsidR="0038732F" w:rsidRDefault="00D745D0" w:rsidP="00C43A44">
      <w:pPr>
        <w:jc w:val="both"/>
        <w:rPr>
          <w:rFonts w:ascii="GHEA Grapalat" w:hAnsi="GHEA Grapalat"/>
          <w:b/>
          <w:sz w:val="24"/>
          <w:szCs w:val="24"/>
          <w:lang w:val="hy-AM"/>
        </w:rPr>
      </w:pPr>
      <w:r w:rsidRPr="00C43A44">
        <w:rPr>
          <w:rFonts w:ascii="GHEA Grapalat" w:hAnsi="GHEA Grapalat"/>
          <w:b/>
          <w:sz w:val="24"/>
          <w:szCs w:val="24"/>
          <w:lang w:val="hy-AM"/>
        </w:rPr>
        <w:t>Շահառուի ընտանիքի անդամ են հանդիսանում շահառուի հայրը, մայրը, ամուսինը, ամուսնու ծնողները, տատը, պապը, քույրը, եղբայրը, երեխաները, թոռները</w:t>
      </w:r>
      <w:r w:rsidRPr="00C43A44">
        <w:rPr>
          <w:rFonts w:ascii="GHEA Grapalat" w:eastAsia="Times New Roman" w:hAnsi="GHEA Grapalat" w:cs="Times New Roman"/>
          <w:b/>
          <w:bCs/>
          <w:color w:val="000000"/>
          <w:sz w:val="24"/>
          <w:lang w:val="hy-AM"/>
        </w:rPr>
        <w:t>։</w:t>
      </w:r>
      <w:r w:rsidRPr="00C43A44">
        <w:rPr>
          <w:rFonts w:ascii="GHEA Grapalat" w:hAnsi="GHEA Grapalat"/>
          <w:b/>
          <w:sz w:val="24"/>
          <w:szCs w:val="24"/>
          <w:lang w:val="hy-AM"/>
        </w:rPr>
        <w:t xml:space="preserve"> </w:t>
      </w:r>
    </w:p>
    <w:p w:rsidR="00C43A44" w:rsidRPr="00C43A44" w:rsidRDefault="00C43A44" w:rsidP="00C43A44">
      <w:pPr>
        <w:jc w:val="both"/>
        <w:rPr>
          <w:rFonts w:ascii="GHEA Grapalat" w:hAnsi="GHEA Grapalat"/>
          <w:b/>
          <w:sz w:val="24"/>
          <w:szCs w:val="24"/>
          <w:lang w:val="hy-AM"/>
        </w:rPr>
      </w:pPr>
    </w:p>
    <w:p w:rsidR="00D745D0" w:rsidRPr="00D745D0" w:rsidRDefault="00D745D0" w:rsidP="00C43A44">
      <w:pPr>
        <w:pStyle w:val="ListParagraph"/>
        <w:numPr>
          <w:ilvl w:val="0"/>
          <w:numId w:val="1"/>
        </w:numPr>
        <w:ind w:left="0" w:firstLine="426"/>
        <w:jc w:val="both"/>
        <w:rPr>
          <w:rFonts w:ascii="GHEA Grapalat" w:hAnsi="GHEA Grapalat"/>
          <w:sz w:val="24"/>
          <w:szCs w:val="24"/>
          <w:lang w:val="hy-AM"/>
        </w:rPr>
      </w:pPr>
      <w:r w:rsidRPr="00D745D0">
        <w:rPr>
          <w:rFonts w:ascii="GHEA Grapalat" w:eastAsia="Times New Roman" w:hAnsi="GHEA Grapalat" w:cs="Times New Roman"/>
          <w:bCs/>
          <w:i/>
          <w:color w:val="000000"/>
          <w:sz w:val="24"/>
          <w:lang w:val="hy-AM"/>
        </w:rPr>
        <w:t>Հարց՝</w:t>
      </w:r>
    </w:p>
    <w:p w:rsidR="001C6CE1" w:rsidRDefault="00ED4C28" w:rsidP="00C43A44">
      <w:pPr>
        <w:jc w:val="both"/>
        <w:rPr>
          <w:rFonts w:ascii="GHEA Grapalat" w:hAnsi="GHEA Grapalat"/>
          <w:sz w:val="24"/>
          <w:szCs w:val="24"/>
          <w:lang w:val="hy-AM"/>
        </w:rPr>
      </w:pPr>
      <w:r w:rsidRPr="00ED4C28">
        <w:rPr>
          <w:rFonts w:ascii="GHEA Grapalat" w:hAnsi="GHEA Grapalat"/>
          <w:sz w:val="24"/>
          <w:szCs w:val="24"/>
          <w:lang w:val="hy-AM"/>
        </w:rPr>
        <w:t xml:space="preserve">Տրամադրած վարկի որ մասը կարող է օգտագործվել անկանխիկ եղանակով </w:t>
      </w:r>
      <w:r w:rsidR="001C6CE1">
        <w:rPr>
          <w:rFonts w:ascii="GHEA Grapalat" w:hAnsi="GHEA Grapalat"/>
          <w:sz w:val="24"/>
          <w:szCs w:val="24"/>
          <w:lang w:val="hy-AM"/>
        </w:rPr>
        <w:t>գործարքներ</w:t>
      </w:r>
      <w:r w:rsidR="00C43A44">
        <w:rPr>
          <w:rFonts w:ascii="GHEA Grapalat" w:hAnsi="GHEA Grapalat"/>
          <w:sz w:val="24"/>
          <w:szCs w:val="24"/>
          <w:lang w:val="hy-AM"/>
        </w:rPr>
        <w:t xml:space="preserve"> </w:t>
      </w:r>
      <w:r w:rsidR="001C6CE1">
        <w:rPr>
          <w:rFonts w:ascii="GHEA Grapalat" w:hAnsi="GHEA Grapalat"/>
          <w:sz w:val="24"/>
          <w:szCs w:val="24"/>
          <w:lang w:val="hy-AM"/>
        </w:rPr>
        <w:t xml:space="preserve">կատարելու </w:t>
      </w:r>
      <w:r w:rsidR="00C43A44">
        <w:rPr>
          <w:rFonts w:ascii="GHEA Grapalat" w:hAnsi="GHEA Grapalat"/>
          <w:sz w:val="24"/>
          <w:szCs w:val="24"/>
          <w:lang w:val="hy-AM"/>
        </w:rPr>
        <w:t>համար</w:t>
      </w:r>
      <w:r w:rsidRPr="00ED4C28">
        <w:rPr>
          <w:rFonts w:ascii="GHEA Grapalat" w:hAnsi="GHEA Grapalat"/>
          <w:sz w:val="24"/>
          <w:szCs w:val="24"/>
          <w:lang w:val="hy-AM"/>
        </w:rPr>
        <w:t>։</w:t>
      </w:r>
    </w:p>
    <w:p w:rsidR="00E704FA" w:rsidRDefault="001C6CE1" w:rsidP="00E704FA">
      <w:pPr>
        <w:ind w:firstLine="720"/>
        <w:jc w:val="both"/>
        <w:rPr>
          <w:rFonts w:ascii="GHEA Grapalat" w:hAnsi="GHEA Grapalat"/>
          <w:i/>
          <w:sz w:val="24"/>
          <w:szCs w:val="24"/>
          <w:lang w:val="hy-AM"/>
        </w:rPr>
      </w:pPr>
      <w:r>
        <w:rPr>
          <w:rFonts w:ascii="GHEA Grapalat" w:hAnsi="GHEA Grapalat"/>
          <w:i/>
          <w:sz w:val="24"/>
          <w:szCs w:val="24"/>
          <w:lang w:val="hy-AM"/>
        </w:rPr>
        <w:t>Պատասխան՝</w:t>
      </w:r>
    </w:p>
    <w:p w:rsidR="001C6CE1" w:rsidRPr="00E704FA" w:rsidRDefault="00E704FA" w:rsidP="00E704FA">
      <w:pPr>
        <w:jc w:val="both"/>
        <w:rPr>
          <w:rFonts w:ascii="GHEA Grapalat" w:hAnsi="GHEA Grapalat"/>
          <w:b/>
          <w:i/>
          <w:sz w:val="24"/>
          <w:szCs w:val="24"/>
          <w:lang w:val="hy-AM"/>
        </w:rPr>
      </w:pPr>
      <w:r w:rsidRPr="00E704FA">
        <w:rPr>
          <w:lang w:val="hy-AM"/>
        </w:rPr>
        <w:t xml:space="preserve"> </w:t>
      </w:r>
      <w:r w:rsidRPr="00E704FA">
        <w:rPr>
          <w:rFonts w:ascii="GHEA Grapalat" w:hAnsi="GHEA Grapalat"/>
          <w:b/>
          <w:sz w:val="24"/>
          <w:szCs w:val="24"/>
          <w:lang w:val="hy-AM"/>
        </w:rPr>
        <w:t>Վարկի օգտագործումը թույլատրելի ծախսային ուղղություններով իրականացվում է անկանխիկ եղանակով՝ վարկի ընդհանուր գումարի առնվազն 70%-ի չափով: Վարկի ծախսային ուղղությունների առնվազն 80%-ը և էներգաարդյունավետ միջոցառումներին ուղղվող ծախսերի 100%-ը պետք է հիմնավորվեն վճարումը հավաստող փաստաթղթերով (վճարման հանձնարարական, ՀԴՄ կտրոն, հաշիվ-ապրանքագրերով վճարում, բանկային կամ քարտային փոխանցում, ապրանքի կամ աշխատանքի կամ ծառայության ընդունման-հանձնման փաստը հավաստող փաստաթուղթ (փոխադարձ ակտ, արձանագրություն և այլն)։ Էներգաարդյունավետ այն միջոցառումները, որոնց համար չեն ներկայացվում վճարումը հավաստող փաստաթղթեր, ծրագրի իմաստով չեն դիտարկվում որպես էներգաարդյունավետ միջոցառումներ։</w:t>
      </w:r>
    </w:p>
    <w:sectPr w:rsidR="001C6CE1" w:rsidRPr="00E704FA" w:rsidSect="00377467">
      <w:pgSz w:w="12240" w:h="15840"/>
      <w:pgMar w:top="11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D63"/>
    <w:multiLevelType w:val="hybridMultilevel"/>
    <w:tmpl w:val="301CF2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8451B2"/>
    <w:multiLevelType w:val="hybridMultilevel"/>
    <w:tmpl w:val="82A6B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2D78B3"/>
    <w:multiLevelType w:val="hybridMultilevel"/>
    <w:tmpl w:val="E2D4711E"/>
    <w:lvl w:ilvl="0" w:tplc="89BC576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E62816"/>
    <w:multiLevelType w:val="hybridMultilevel"/>
    <w:tmpl w:val="3A24C85C"/>
    <w:lvl w:ilvl="0" w:tplc="E9F614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FE76A5"/>
    <w:multiLevelType w:val="hybridMultilevel"/>
    <w:tmpl w:val="CB18C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527230"/>
    <w:multiLevelType w:val="hybridMultilevel"/>
    <w:tmpl w:val="E3C6A4BA"/>
    <w:lvl w:ilvl="0" w:tplc="7D0E22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5F20F9"/>
    <w:multiLevelType w:val="hybridMultilevel"/>
    <w:tmpl w:val="4B1CF1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71B2199"/>
    <w:multiLevelType w:val="hybridMultilevel"/>
    <w:tmpl w:val="333AB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8"/>
    <w:rsid w:val="00170D46"/>
    <w:rsid w:val="001C6CE1"/>
    <w:rsid w:val="00271D21"/>
    <w:rsid w:val="00302302"/>
    <w:rsid w:val="00377467"/>
    <w:rsid w:val="0038732F"/>
    <w:rsid w:val="003C7308"/>
    <w:rsid w:val="00665488"/>
    <w:rsid w:val="006D6C91"/>
    <w:rsid w:val="008F5AD8"/>
    <w:rsid w:val="00A617CD"/>
    <w:rsid w:val="00C43A44"/>
    <w:rsid w:val="00C51A7D"/>
    <w:rsid w:val="00C5420A"/>
    <w:rsid w:val="00CA77BA"/>
    <w:rsid w:val="00D745D0"/>
    <w:rsid w:val="00DD0355"/>
    <w:rsid w:val="00DD196A"/>
    <w:rsid w:val="00DD62BC"/>
    <w:rsid w:val="00E41894"/>
    <w:rsid w:val="00E704FA"/>
    <w:rsid w:val="00EC60DA"/>
    <w:rsid w:val="00ED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67502-75BB-4020-B8CC-A1E79F8C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H_ABRAHAMYAN</cp:lastModifiedBy>
  <cp:revision>2</cp:revision>
  <dcterms:created xsi:type="dcterms:W3CDTF">2022-07-21T05:17:00Z</dcterms:created>
  <dcterms:modified xsi:type="dcterms:W3CDTF">2022-07-21T05:17:00Z</dcterms:modified>
</cp:coreProperties>
</file>