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0C" w:rsidRPr="00941C45" w:rsidRDefault="003C480C" w:rsidP="00660EDC">
      <w:pPr>
        <w:shd w:val="clear" w:color="auto" w:fill="FFFFFF"/>
        <w:ind w:left="4248" w:right="175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softHyphen/>
        <w:t xml:space="preserve">N  </w:t>
      </w:r>
      <w:r w:rsidR="006F3ACF" w:rsidRPr="00941C45">
        <w:rPr>
          <w:rFonts w:ascii="GHEA Grapalat" w:hAnsi="GHEA Grapalat"/>
          <w:b/>
          <w:bCs/>
          <w:sz w:val="22"/>
          <w:szCs w:val="22"/>
          <w:lang w:val="en-US"/>
        </w:rPr>
        <w:t>123</w:t>
      </w:r>
    </w:p>
    <w:p w:rsidR="003C480C" w:rsidRPr="00941C45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3C480C" w:rsidRPr="00941C45" w:rsidRDefault="006F3ACF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t>2021</w:t>
      </w:r>
      <w:r w:rsidR="003C480C"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մայիսի  26</w:t>
      </w:r>
      <w:r w:rsidR="003C480C" w:rsidRPr="00941C45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="003C480C"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="003C480C" w:rsidRPr="00941C45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</w:p>
    <w:p w:rsidR="003C480C" w:rsidRPr="00941C45" w:rsidRDefault="006F3ACF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41C45">
        <w:rPr>
          <w:rFonts w:ascii="GHEA Grapalat" w:hAnsi="GHEA Grapalat"/>
          <w:b/>
          <w:bCs/>
          <w:sz w:val="22"/>
          <w:szCs w:val="22"/>
          <w:lang w:val="hy-AM"/>
        </w:rPr>
        <w:t>N 1714</w:t>
      </w:r>
      <w:r w:rsidR="003C480C" w:rsidRPr="00941C45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="003C480C"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="003C480C" w:rsidRPr="00941C45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3C480C" w:rsidRPr="00941C45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3C480C" w:rsidRPr="00941C45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941C45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3C480C" w:rsidRPr="00941C45" w:rsidRDefault="003C480C" w:rsidP="00660EDC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ՀԱՄԱՅՆՔԱՅԻՆ ԾԱՌԱՅՈՒԹՅԱՆ ՊԱՇՏՈՆԻ ԱՆՁՆԱԳԻՐ</w:t>
      </w:r>
    </w:p>
    <w:p w:rsidR="003C480C" w:rsidRPr="00941C45" w:rsidRDefault="003C480C" w:rsidP="00660EDC">
      <w:pPr>
        <w:pStyle w:val="Heading1"/>
        <w:spacing w:line="276" w:lineRule="auto"/>
        <w:ind w:firstLine="0"/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 xml:space="preserve">ԵՐԵՎԱՆԻ ՔԱՆԱՔԵՌ-ԶԵՅԹՈՒՆ ՎԱՐՉԱԿԱՆ ՇՐՋԱՆԻ ՂԵԿԱՎԱՐԻ </w:t>
      </w:r>
    </w:p>
    <w:p w:rsidR="003C480C" w:rsidRPr="00941C45" w:rsidRDefault="003C480C" w:rsidP="00660EDC">
      <w:pPr>
        <w:pStyle w:val="Heading1"/>
        <w:spacing w:line="276" w:lineRule="auto"/>
        <w:ind w:firstLine="0"/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 xml:space="preserve">ԱՇԽԱՏԱԿԱԶՄԻ ԱՌԵՎՏՐԻ,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ԾԱՌԱՅՈՒԹՅՈՒՆՆԵՐԻ </w:t>
      </w:r>
      <w:r w:rsidRPr="00941C45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 xml:space="preserve">ԵՎ ԳՈՎԱԶԴԻ ԲԱԺՆԻ </w:t>
      </w:r>
    </w:p>
    <w:p w:rsidR="003C480C" w:rsidRPr="00941C45" w:rsidRDefault="003C480C" w:rsidP="00660EDC">
      <w:pPr>
        <w:pStyle w:val="Heading1"/>
        <w:spacing w:line="276" w:lineRule="auto"/>
        <w:ind w:firstLine="0"/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 xml:space="preserve">ԱՌԱՋԻՆ ԿԱՐԳԻ ՄԱՍՆԱԳԵՏԻ </w:t>
      </w:r>
    </w:p>
    <w:p w:rsidR="003C480C" w:rsidRPr="00941C45" w:rsidRDefault="003C480C" w:rsidP="00660EDC">
      <w:pPr>
        <w:spacing w:line="276" w:lineRule="auto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3.2-</w:t>
      </w:r>
      <w:r w:rsidR="00517FA1"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417</w:t>
      </w:r>
    </w:p>
    <w:p w:rsidR="003C480C" w:rsidRPr="00941C45" w:rsidRDefault="003C480C" w:rsidP="003C480C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(ծածկագիրը)</w:t>
      </w:r>
    </w:p>
    <w:p w:rsidR="003C480C" w:rsidRPr="00941C45" w:rsidRDefault="003C480C" w:rsidP="003C480C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F94698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softHyphen/>
      </w: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softHyphen/>
        <w:t>1. ԸՆԴՀԱՆՈՒՐ ԴՐՈՒՅԹՆԵՐ</w:t>
      </w:r>
    </w:p>
    <w:p w:rsidR="00F94698" w:rsidRPr="00941C45" w:rsidRDefault="00F94698" w:rsidP="00F94698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3C480C" w:rsidRPr="00941C45" w:rsidRDefault="00F94698" w:rsidP="003C480C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1.</w:t>
      </w:r>
      <w:r w:rsidR="003C480C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 Քանաքեռ-Զեյթուն վարչական շրջանի ղեկավարի աշխատակազմի (այսուհետ` Աշխատակազմ) առևտրի, ծառայությունների և գովազդի բաժնի (այսուհետ` Բաժին) առաջին կարգի մասնագետի պաշտոնն ընդգրկվում է համայնքային ծառայության կրտսեր պաշտոնների խմբի երկրորդ ենթախմբում։</w:t>
      </w:r>
    </w:p>
    <w:p w:rsidR="003C480C" w:rsidRPr="00941C45" w:rsidRDefault="003C480C" w:rsidP="003C480C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2. Բաժնի առաջին կարգի մասնագետին «Համայնքային ծառայության մասին</w:t>
      </w:r>
      <w:r w:rsidR="00941C45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օրենքով (այսուհետ` Օրենք) սահմանված կարգով պաշտոնում նշանակում և պաշտոնից ա</w:t>
      </w:r>
      <w:r w:rsidR="00823DD9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զատում է Երևանի քաղաքապետարանի Ա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 քարտուղարը։</w:t>
      </w:r>
    </w:p>
    <w:p w:rsidR="003C480C" w:rsidRPr="00941C45" w:rsidRDefault="003C480C" w:rsidP="003C480C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:rsidR="003C480C" w:rsidRPr="00941C45" w:rsidRDefault="003C480C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2. ԱՇԽԱՏԱՆՔԻ ԿԱԶՄԱԿԵՐՊՄԱՆ ԵՎ ՂԵԿԱՎԱՐՄԱՆ ՊԱՏԱՍԽԱՆԱՏՎՈՒԹՅՈՒՆԸ</w:t>
      </w:r>
    </w:p>
    <w:p w:rsidR="003C480C" w:rsidRPr="00941C45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3. Բաժնի առաջին կարգի մասնագետն անմիջականորեն ենթակա և հաշվետու է Բաժնի պետին։</w:t>
      </w:r>
    </w:p>
    <w:p w:rsidR="003C480C" w:rsidRPr="00941C45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4. Բաժնի առաջին կարգի մասնագետն իրեն ենթակա աշխատողներ չունի։</w:t>
      </w:r>
    </w:p>
    <w:p w:rsidR="003C480C" w:rsidRPr="00941C45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5. Բաժնի առաջին կարգի մասնագետի բացակայության դեպքում նրան փոխարինում է Բաժնի առաջատար մասնագետը  կամ Բաժնի այլ առա</w:t>
      </w:r>
      <w:r w:rsidR="00980D94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ջին կարգի  մասնագետներից մեկը` Երևանի քաղաքապետարանի Ա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շխատակազմի քարտուղարի հայեցողությամբ։ </w:t>
      </w:r>
    </w:p>
    <w:p w:rsidR="003C480C" w:rsidRPr="00941C45" w:rsidRDefault="00980D94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Օրենքով նախատեսված դեպքերում Բ</w:t>
      </w:r>
      <w:r w:rsidR="003C480C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3C480C" w:rsidRPr="00941C45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Բաժնի առաջին կարգի մասնագետը Բաժնի առաջատար մասնագետի  կամ Բաժնի այլ առաջին կարգի մասնագետներից մեկի բացակայության դեպքում փոխարինում </w:t>
      </w:r>
      <w:r w:rsidR="00980D94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է նրանց` Երևանի քաղաքապետարանի Ա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 քարտուղարի հայեցողությամբ։</w:t>
      </w:r>
    </w:p>
    <w:p w:rsidR="003C480C" w:rsidRPr="00941C45" w:rsidRDefault="003C480C" w:rsidP="00DD5E7F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</w:t>
      </w:r>
      <w:r w:rsidR="00DD5E7F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6. Բաժնի առաջին կարգի  մասնագետը`</w:t>
      </w:r>
    </w:p>
    <w:p w:rsidR="003C480C" w:rsidRPr="00941C45" w:rsidRDefault="00DD5E7F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ա)</w:t>
      </w:r>
      <w:r w:rsidR="003C480C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աշխատանքների կազմակերպման, ծրագրման, համակարգման, ղեկավարման և վերահսկման լիազորություններ չունի.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բ) կատարում է Բաժնի պետի հանձնարարականները.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lastRenderedPageBreak/>
        <w:t>գ) պատասխանատվություն է կրում  օրենքների և այլ իրավական ակտերի պահանջները ու տրված հանձնարարականները չկատարելու կամ ոչ պատշաճ կատարելու, լիազորությունները վերազանցելու համար։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DD5E7F" w:rsidRPr="00941C45" w:rsidRDefault="00DD5E7F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3. ՈՐՈՇՈՒՄՆԵՐ ԿԱՅԱՑՆԵԼՈՒ ԼԻԱԶՈՐՈՒԹՅՈՒՆՆԵՐԸ</w:t>
      </w:r>
    </w:p>
    <w:p w:rsidR="005019A6" w:rsidRPr="00941C45" w:rsidRDefault="005019A6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կատարմանը։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DD5E7F" w:rsidRPr="00941C45" w:rsidRDefault="00DD5E7F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4. ՇՓՈՒՄՆԵՐԸ  ԵՎ ՆԵՐԿԱՅԱՑՈՒՑՉՈՒԹՅՈՒՆԸ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8. Բաժնի առաջին կարգի մասնագետը`</w:t>
      </w:r>
    </w:p>
    <w:p w:rsidR="003C480C" w:rsidRPr="00941C45" w:rsidRDefault="00C35B7B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ա)</w:t>
      </w:r>
      <w:r w:rsidR="003C480C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 ներսում շփվում է իր լիազորությունների շրջանակներում` աշխատողների հետ.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բ) Աշխատակազմից դուրս շփվում է Բաժնի պետի հանձնարարությամբ.</w:t>
      </w:r>
    </w:p>
    <w:p w:rsidR="003C480C" w:rsidRPr="00941C45" w:rsidRDefault="00C35B7B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գ)</w:t>
      </w:r>
      <w:r w:rsidR="003C480C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Աշխատակազմից դուրս որպես ներկայացուցիչ հանդես գալու լիազորություններ չունի։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6507" w:rsidRPr="00941C45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5. ԽՆԴԻՐՆԵՐԻ ԲԱՐԴՈՒԹՅՈՒՆԸ ԵՎ ԴՐԱՆՑ ՍՏԵՂԾԱԳՈՐԾԱԿԱՆ </w:t>
      </w:r>
    </w:p>
    <w:p w:rsidR="003C480C" w:rsidRPr="00941C45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ԼՈՒԾՈՒՄԸ</w:t>
      </w:r>
    </w:p>
    <w:p w:rsidR="00C35B7B" w:rsidRPr="00941C45" w:rsidRDefault="00C35B7B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9. Բաժնի առաջին կարգի մասնագետը`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3C480C" w:rsidRPr="00941C45" w:rsidRDefault="00C35B7B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բ)</w:t>
      </w:r>
      <w:r w:rsidR="003C480C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չունի։</w:t>
      </w: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6. ԳԻՏԵԼԻՔՆԵՐԸ ԵՎ ՀՄՏՈՒԹՅՈՒՆՆԵՐԸ</w:t>
      </w:r>
    </w:p>
    <w:p w:rsidR="00C35B7B" w:rsidRPr="00941C45" w:rsidRDefault="00C35B7B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10. Բաժնի առաջին կարգի  մասնագետը`</w:t>
      </w:r>
    </w:p>
    <w:p w:rsidR="003C480C" w:rsidRPr="00941C45" w:rsidRDefault="003C480C" w:rsidP="003C480C">
      <w:pPr>
        <w:shd w:val="clear" w:color="auto" w:fill="FFFFFF"/>
        <w:ind w:firstLine="708"/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</w:pP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ա)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ունի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  <w:t>միջնակարգ կրթություն` առանց աշխատանքային ստաժի և փորձի.</w:t>
      </w:r>
    </w:p>
    <w:p w:rsidR="003C480C" w:rsidRPr="00941C45" w:rsidRDefault="003C480C" w:rsidP="003C480C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բ)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ունի վ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արչական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իրավախախտումների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վերաբերյալ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օրենսգրքի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ինքնակառավարման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941C45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«Երևան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քաղաքում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տեղական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ինքնակառավարման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941C45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«Համայնքային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941C45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«Առևտրի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ծառայությունների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941C45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922FAE" w:rsidRPr="00941C45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«Գովազդի մասին</w:t>
      </w:r>
      <w:r w:rsidR="00941C45" w:rsidRPr="00941C45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ե</w:t>
      </w:r>
      <w:r w:rsidR="00922FAE" w:rsidRPr="00941C45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,</w:t>
      </w:r>
      <w:r w:rsidR="00922FAE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տուրքերի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վճարների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941C45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«Վարչարարության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հիմունքների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վարչական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վարույթի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941C45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«Նորմատիվ իրավական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="00941C45"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օրենքների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, Ա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շխատակազմի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Բաժնի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կանոնադրությունների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լիազորությունների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հետ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կապված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իրավական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այլ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անհրաժեշտ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իմացություն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ինչպես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նաև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տրամաբանելու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տարբեր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իրավիճակներում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կողմնորոշվելու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ունակություն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3C480C" w:rsidRPr="00941C45" w:rsidRDefault="003C480C" w:rsidP="003C480C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գ) 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տիրապետում է անհրաժեշտ տեղեկատվությանը.</w:t>
      </w:r>
    </w:p>
    <w:p w:rsidR="003C480C" w:rsidRPr="00941C45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դ)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ունի համակարգչով և ժամանակակից այլ տեխնիկական միջոցներով  աշխատելու ունակություն։</w:t>
      </w:r>
    </w:p>
    <w:p w:rsidR="00C35B7B" w:rsidRPr="00941C45" w:rsidRDefault="00C35B7B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ԻՐԱՎՈՒՆՔՆԵՐԸ ԵՎ ՊԱՐՏԱԿԱՆՈՒԹՅՈՒՆՆԵՐԸ</w:t>
      </w:r>
    </w:p>
    <w:p w:rsidR="003C480C" w:rsidRPr="00941C45" w:rsidRDefault="003C480C" w:rsidP="003C480C">
      <w:pPr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11. Բաժնի առաջին կարգի մասնագետը` 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ա) Բաժնի պետի հանձնարարությամբ իրականացնում է Երևանի Քանաքեռ-Զեյթուն վարչական շրջանի տարածքում «Տեղական տուրքերի և վճարների մասին</w:t>
      </w:r>
      <w:r w:rsidR="00941C45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օրենքով սահմանված </w:t>
      </w:r>
      <w:r w:rsidR="00090B16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Քանաքեռ-Զեյթուն վարչական շրջանի ղեկավարին.</w:t>
      </w:r>
    </w:p>
    <w:p w:rsidR="003C480C" w:rsidRPr="00941C45" w:rsidRDefault="003C480C" w:rsidP="003C480C">
      <w:pPr>
        <w:spacing w:line="276" w:lineRule="auto"/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բ) Բաժնի պետի հանձնարարությամբ </w:t>
      </w: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հսկողություն է իրականացնում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«Տեղական տուրքերի և վճարների մասին</w:t>
      </w:r>
      <w:r w:rsidR="00941C45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ե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օրենքով սահմանված </w:t>
      </w:r>
      <w:r w:rsidR="00090B16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առևտրի և ծառայությունների ոլորտի, արտաքին գովազդ տեղադրելու</w:t>
      </w:r>
      <w:r w:rsidR="00922FAE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 համայնքի կողմից տրված թույլտվությունների պայմանների պատշաճ կատարման նկատմամբ</w:t>
      </w:r>
      <w:r w:rsidR="00941C45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։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գ) Բաժնի պետի հանձնարարությամբ իրականացնում է </w:t>
      </w:r>
      <w:r w:rsidR="00090B16"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առևտրի և ծառայությունների ոլորտի,  արտաքին գովազդ տեղադրելու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կանոնակարգման աշխատանքները.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դ) կատարում է Բաժնի պետի հանձնարարությունները` ժամանակին և պատշաճ որակով.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զ) իր լիազորությունների սահմաններում, անհրաժեշտության դեպքում, նախապատրաստում և Բաժնի պետին է ներկայացնում  իր աշխատանքային ծրագրերը, ինչպես նաև առաջարկություններ, տեղեկանքներ, հաշվետվություններ, միջնորդագրեր, զեկուցագրեր ու այլ գրություններ.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է) Բաժնի պետի հանձնարարությամբ իրականացնում է քաղաքացիների հերթագրում` Բաժնի պետի մոտ ընդունելության համար.  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ը) </w:t>
      </w: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աշխատանքներին.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թ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) </w:t>
      </w:r>
      <w:r w:rsidRPr="00941C45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աժնի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պետի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հանձնարարությամբ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ուսումնասիրում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դիմումներում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բողոքներում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բարձրացված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հարցերը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օրենսդրությամբ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ժամկետներում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նախապատրաստում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պատասխան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.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ժ)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իրականացնում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սույն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պաշտոնի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անձնագրով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լիազորություններ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 ա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ռաջին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կարգի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մասնագետն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ունի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Օ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րենքով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,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իրավական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իրավունքներ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կրում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այդ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պարտականություններ</w:t>
      </w:r>
      <w:proofErr w:type="spellEnd"/>
      <w:r w:rsidRPr="00941C45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:rsidR="004D6507" w:rsidRPr="00941C45" w:rsidRDefault="004D6507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</w:p>
    <w:p w:rsidR="004D6507" w:rsidRPr="00941C45" w:rsidRDefault="004D6507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</w:p>
    <w:p w:rsidR="004D6507" w:rsidRPr="00941C45" w:rsidRDefault="004D6507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</w:p>
    <w:p w:rsidR="00C35B7B" w:rsidRPr="00941C45" w:rsidRDefault="00C35B7B" w:rsidP="003C480C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</w:p>
    <w:p w:rsidR="003C480C" w:rsidRPr="00941C45" w:rsidRDefault="003C480C" w:rsidP="006F3ACF">
      <w:pPr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bookmarkStart w:id="0" w:name="_GoBack"/>
      <w:bookmarkEnd w:id="0"/>
    </w:p>
    <w:p w:rsidR="003C480C" w:rsidRPr="00941C45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fr-FR"/>
        </w:rPr>
      </w:pPr>
      <w:r w:rsidRPr="00941C45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ՀԱՄԱՅՆՔԱՅԻՆ    ԾԱՌԱՅՈՒԹՅԱՆ    ԴԱՍԱՅԻՆ  ԱՍՏԻՃԱՆԸ</w:t>
      </w: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p w:rsidR="003C480C" w:rsidRPr="00941C45" w:rsidRDefault="003C480C" w:rsidP="003C480C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lastRenderedPageBreak/>
        <w:t xml:space="preserve">12.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Բաժնի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առաջին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կարգի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մասնագետին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օրենքով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շնորհվում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համայնքային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ծառայության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2-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րդ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դասի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կրտսեր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ծառայողի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դասային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աստիճան</w:t>
      </w:r>
      <w:proofErr w:type="spellEnd"/>
      <w:r w:rsidRPr="00941C45">
        <w:rPr>
          <w:rFonts w:ascii="GHEA Grapalat" w:hAnsi="GHEA Grapalat"/>
          <w:color w:val="000000" w:themeColor="text1"/>
          <w:sz w:val="22"/>
          <w:szCs w:val="22"/>
          <w:lang w:val="fr-FR"/>
        </w:rPr>
        <w:t>։</w:t>
      </w:r>
    </w:p>
    <w:p w:rsidR="00826172" w:rsidRPr="00941C45" w:rsidRDefault="00826172">
      <w:pPr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sectPr w:rsidR="00826172" w:rsidRPr="00941C45" w:rsidSect="00660EDC">
      <w:pgSz w:w="11906" w:h="16838"/>
      <w:pgMar w:top="1134" w:right="85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80C"/>
    <w:rsid w:val="00031D62"/>
    <w:rsid w:val="00090B16"/>
    <w:rsid w:val="003C480C"/>
    <w:rsid w:val="004D6507"/>
    <w:rsid w:val="005019A6"/>
    <w:rsid w:val="00517FA1"/>
    <w:rsid w:val="00660EDC"/>
    <w:rsid w:val="006F3ACF"/>
    <w:rsid w:val="00704CA5"/>
    <w:rsid w:val="007B4D64"/>
    <w:rsid w:val="00823DD9"/>
    <w:rsid w:val="00826172"/>
    <w:rsid w:val="00922FAE"/>
    <w:rsid w:val="00941C45"/>
    <w:rsid w:val="00980D94"/>
    <w:rsid w:val="009A40E5"/>
    <w:rsid w:val="00C35B7B"/>
    <w:rsid w:val="00DD5E7F"/>
    <w:rsid w:val="00F94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0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3C480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480C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F94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869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https://mul2-mta.gov.am/tasks/1114664/oneclick/3.2-417.docx?token=bc7f4667eabf281b22d52b6223c4cac5</cp:keywords>
  <dc:description/>
  <cp:lastModifiedBy>lusine.sargsyan</cp:lastModifiedBy>
  <cp:revision>21</cp:revision>
  <cp:lastPrinted>2021-06-08T07:53:00Z</cp:lastPrinted>
  <dcterms:created xsi:type="dcterms:W3CDTF">2021-05-06T11:55:00Z</dcterms:created>
  <dcterms:modified xsi:type="dcterms:W3CDTF">2022-06-03T11:58:00Z</dcterms:modified>
</cp:coreProperties>
</file>