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7B" w:rsidRPr="006A195C" w:rsidRDefault="00366B7B" w:rsidP="00366B7B">
      <w:pPr>
        <w:spacing w:after="0" w:line="240" w:lineRule="auto"/>
        <w:jc w:val="center"/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</w:pPr>
      <w:r w:rsidRPr="006A195C"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  <w:t>Հայաստանի Հանրապետության</w:t>
      </w:r>
    </w:p>
    <w:p w:rsidR="00366B7B" w:rsidRPr="006A195C" w:rsidRDefault="00366B7B" w:rsidP="00366B7B">
      <w:pPr>
        <w:spacing w:after="0" w:line="240" w:lineRule="auto"/>
        <w:jc w:val="center"/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</w:pPr>
      <w:r w:rsidRPr="006A195C"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  <w:t>Տարածքային կառավարման և ենթակառուցվածքների նախարարություն</w:t>
      </w:r>
    </w:p>
    <w:p w:rsidR="00366B7B" w:rsidRPr="006A195C" w:rsidRDefault="006F527B" w:rsidP="00366B7B">
      <w:pPr>
        <w:jc w:val="center"/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</w:pPr>
      <w:r w:rsidRPr="006A195C">
        <w:rPr>
          <w:rFonts w:ascii="GHEA Grapalat" w:hAnsi="GHEA Grapalat"/>
          <w:i/>
          <w:color w:val="AEAAAA" w:themeColor="background2" w:themeShade="BF"/>
          <w:sz w:val="24"/>
          <w:szCs w:val="24"/>
          <w:lang w:val="hy-AM"/>
        </w:rPr>
        <w:t>ՋՐԱՅԻՆ ԿՈՄԻՏԵ</w:t>
      </w:r>
    </w:p>
    <w:p w:rsidR="00366B7B" w:rsidRPr="006A195C" w:rsidRDefault="00366B7B" w:rsidP="00366B7B">
      <w:pPr>
        <w:jc w:val="center"/>
        <w:rPr>
          <w:rFonts w:ascii="GHEA Grapalat" w:hAnsi="GHEA Grapalat"/>
          <w:color w:val="AEAAAA" w:themeColor="background2" w:themeShade="BF"/>
          <w:sz w:val="24"/>
          <w:szCs w:val="24"/>
          <w:lang w:val="hy-AM"/>
        </w:rPr>
      </w:pPr>
    </w:p>
    <w:p w:rsidR="00C9433C" w:rsidRPr="006A195C" w:rsidRDefault="00C9433C" w:rsidP="00C9433C">
      <w:pPr>
        <w:rPr>
          <w:rFonts w:ascii="GHEA Grapalat" w:hAnsi="GHEA Grapalat"/>
          <w:b/>
          <w:i/>
          <w:sz w:val="26"/>
          <w:szCs w:val="26"/>
          <w:lang w:val="hy-AM"/>
        </w:rPr>
      </w:pPr>
      <w:r w:rsidRPr="006A19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6B7B" w:rsidRPr="006A195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</w:t>
      </w:r>
      <w:r w:rsidRPr="006A19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6B7B" w:rsidRPr="006A195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6A19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A195C">
        <w:rPr>
          <w:rFonts w:ascii="GHEA Grapalat" w:hAnsi="GHEA Grapalat"/>
          <w:b/>
          <w:i/>
          <w:sz w:val="26"/>
          <w:szCs w:val="26"/>
          <w:lang w:val="hy-AM"/>
        </w:rPr>
        <w:t xml:space="preserve">ԾՐԱԳՐԱՅԻՆ ԱՌԱՋԱՐԿ </w:t>
      </w:r>
    </w:p>
    <w:p w:rsidR="00366B7B" w:rsidRPr="006A195C" w:rsidRDefault="00366B7B" w:rsidP="00C9433C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366B7B" w:rsidRPr="006A195C" w:rsidRDefault="003A36D5" w:rsidP="00CE01D1">
      <w:pPr>
        <w:jc w:val="center"/>
        <w:rPr>
          <w:rFonts w:ascii="GHEA Grapalat" w:hAnsi="GHEA Grapalat"/>
          <w:b/>
          <w:caps/>
          <w:sz w:val="28"/>
          <w:szCs w:val="28"/>
          <w:lang w:val="hy-AM"/>
        </w:rPr>
      </w:pPr>
      <w:r w:rsidRPr="006A195C">
        <w:rPr>
          <w:rFonts w:ascii="GHEA Grapalat" w:hAnsi="GHEA Grapalat"/>
          <w:b/>
          <w:caps/>
          <w:sz w:val="28"/>
          <w:szCs w:val="28"/>
          <w:lang w:val="hy-AM"/>
        </w:rPr>
        <w:t>Գործող ջրամբարների վերականգնում</w:t>
      </w:r>
    </w:p>
    <w:p w:rsidR="0054040D" w:rsidRPr="006A195C" w:rsidRDefault="0054040D" w:rsidP="00366B7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C421AB" w:rsidRPr="006A195C" w:rsidRDefault="00C421AB" w:rsidP="00C421AB">
      <w:pPr>
        <w:tabs>
          <w:tab w:val="left" w:pos="7740"/>
        </w:tabs>
        <w:rPr>
          <w:rFonts w:ascii="GHEA Grapalat" w:hAnsi="GHEA Grapalat"/>
          <w:b/>
          <w:sz w:val="26"/>
          <w:szCs w:val="26"/>
          <w:lang w:val="hy-AM"/>
        </w:rPr>
      </w:pPr>
    </w:p>
    <w:p w:rsidR="00313810" w:rsidRPr="006A195C" w:rsidRDefault="00313810" w:rsidP="00366B7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tbl>
      <w:tblPr>
        <w:tblStyle w:val="TableGrid"/>
        <w:tblW w:w="10661" w:type="dxa"/>
        <w:tblCellSpacing w:w="2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9"/>
        <w:gridCol w:w="7512"/>
      </w:tblGrid>
      <w:tr w:rsidR="003814E3" w:rsidRPr="006A195C" w:rsidTr="00F6671D">
        <w:trPr>
          <w:tblCellSpacing w:w="20" w:type="dxa"/>
        </w:trPr>
        <w:tc>
          <w:tcPr>
            <w:tcW w:w="10581" w:type="dxa"/>
            <w:gridSpan w:val="2"/>
            <w:shd w:val="clear" w:color="auto" w:fill="F2F2F2" w:themeFill="background1" w:themeFillShade="F2"/>
          </w:tcPr>
          <w:p w:rsidR="003814E3" w:rsidRPr="006A195C" w:rsidRDefault="003814E3" w:rsidP="003814E3">
            <w:pPr>
              <w:rPr>
                <w:rFonts w:ascii="GHEA Grapalat" w:hAnsi="GHEA Grapalat"/>
                <w:lang w:val="hy-AM"/>
              </w:rPr>
            </w:pPr>
          </w:p>
        </w:tc>
      </w:tr>
      <w:tr w:rsidR="003814E3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3814E3">
            <w:pPr>
              <w:rPr>
                <w:rFonts w:ascii="GHEA Grapalat" w:hAnsi="GHEA Grapalat" w:cs="DejaVuSerif-Bold"/>
                <w:bCs/>
                <w:lang w:val="hy-AM"/>
              </w:rPr>
            </w:pPr>
            <w:r w:rsidRPr="006A195C">
              <w:rPr>
                <w:rFonts w:ascii="GHEA Grapalat" w:hAnsi="GHEA Grapalat"/>
                <w:i/>
                <w:lang w:val="hy-AM"/>
              </w:rPr>
              <w:t xml:space="preserve">  Նախաբան</w:t>
            </w:r>
          </w:p>
          <w:p w:rsidR="003814E3" w:rsidRPr="006A195C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7452" w:type="dxa"/>
          </w:tcPr>
          <w:p w:rsidR="003D6D7A" w:rsidRPr="006A195C" w:rsidRDefault="003D6D7A" w:rsidP="003D6D7A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կառավարությանը  ԵՄ աջակցության շրջանակներում «Վերականգնում, դիմակայունություն և բարեփոխում. Արևելյան գործընկերության առաջնահերթությունները 2020թ-ից հետո» նախաձեռնության «Լրացուցիչ «Բ» նախաձեռնության» շրջանակներում նախատեսվում է </w:t>
            </w:r>
            <w:r w:rsidR="00454411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վերականգնել 4 գործող 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ջրամբարներ:</w:t>
            </w:r>
          </w:p>
          <w:p w:rsidR="003814E3" w:rsidRPr="006A195C" w:rsidRDefault="003814E3" w:rsidP="00F053F2">
            <w:pPr>
              <w:tabs>
                <w:tab w:val="num" w:pos="720"/>
              </w:tabs>
              <w:ind w:firstLine="43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397F95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97F95" w:rsidRPr="006A195C" w:rsidRDefault="00397F95" w:rsidP="00397F95">
            <w:pPr>
              <w:rPr>
                <w:rFonts w:ascii="GHEA Grapalat" w:hAnsi="GHEA Grapalat"/>
                <w:i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i/>
                <w:lang w:val="hy-AM"/>
              </w:rPr>
              <w:t>Ծրագրի իրականացման տևողությունը</w:t>
            </w:r>
          </w:p>
        </w:tc>
        <w:tc>
          <w:tcPr>
            <w:tcW w:w="7452" w:type="dxa"/>
          </w:tcPr>
          <w:p w:rsidR="00397F95" w:rsidRPr="006A195C" w:rsidRDefault="00397F95" w:rsidP="002F1A67">
            <w:pPr>
              <w:rPr>
                <w:rFonts w:ascii="GHEA Grapalat" w:hAnsi="GHEA Grapalat"/>
                <w:lang w:val="en-US"/>
              </w:rPr>
            </w:pPr>
            <w:r w:rsidRPr="006A195C">
              <w:rPr>
                <w:rFonts w:ascii="GHEA Grapalat" w:hAnsi="GHEA Grapalat"/>
                <w:lang w:val="en-US"/>
              </w:rPr>
              <w:t xml:space="preserve">շուրջ </w:t>
            </w:r>
            <w:r w:rsidR="002F1A67" w:rsidRPr="006A195C">
              <w:rPr>
                <w:rFonts w:ascii="GHEA Grapalat" w:hAnsi="GHEA Grapalat"/>
                <w:lang w:val="hy-AM"/>
              </w:rPr>
              <w:t>4</w:t>
            </w:r>
            <w:r w:rsidRPr="006A195C">
              <w:rPr>
                <w:rFonts w:ascii="GHEA Grapalat" w:hAnsi="GHEA Grapalat"/>
                <w:lang w:val="en-US"/>
              </w:rPr>
              <w:t xml:space="preserve"> տարի</w:t>
            </w:r>
          </w:p>
        </w:tc>
      </w:tr>
      <w:tr w:rsidR="00397F95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97F95" w:rsidRPr="006A195C" w:rsidRDefault="00397F95" w:rsidP="00397F95">
            <w:pPr>
              <w:rPr>
                <w:rFonts w:ascii="GHEA Grapalat" w:hAnsi="GHEA Grapalat"/>
                <w:i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i/>
                <w:lang w:val="hy-AM"/>
              </w:rPr>
              <w:t xml:space="preserve">Ծրագրի սկիզբ  </w:t>
            </w:r>
          </w:p>
        </w:tc>
        <w:tc>
          <w:tcPr>
            <w:tcW w:w="7452" w:type="dxa"/>
          </w:tcPr>
          <w:p w:rsidR="00397F95" w:rsidRPr="006A195C" w:rsidRDefault="00397F95" w:rsidP="00397F9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 w:rsidRPr="006A195C">
              <w:rPr>
                <w:rFonts w:ascii="GHEA Grapalat" w:hAnsi="GHEA Grapalat"/>
                <w:lang w:val="en-US"/>
              </w:rPr>
              <w:t>2022թ.</w:t>
            </w:r>
          </w:p>
        </w:tc>
      </w:tr>
      <w:tr w:rsidR="00397F95" w:rsidRPr="006A195C" w:rsidTr="004F7088">
        <w:trPr>
          <w:trHeight w:val="79"/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97F95" w:rsidRPr="006A195C" w:rsidRDefault="00397F95" w:rsidP="00397F95">
            <w:pPr>
              <w:rPr>
                <w:rFonts w:ascii="GHEA Grapalat" w:hAnsi="GHEA Grapalat"/>
                <w:i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i/>
                <w:lang w:val="hy-AM"/>
              </w:rPr>
              <w:t>Ծրագրի ավարտ</w:t>
            </w:r>
          </w:p>
        </w:tc>
        <w:tc>
          <w:tcPr>
            <w:tcW w:w="7452" w:type="dxa"/>
          </w:tcPr>
          <w:p w:rsidR="00397F95" w:rsidRPr="006A195C" w:rsidRDefault="002F1A67" w:rsidP="006A195C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 w:rsidRPr="006A195C">
              <w:rPr>
                <w:rFonts w:ascii="GHEA Grapalat" w:hAnsi="GHEA Grapalat"/>
                <w:lang w:val="en-US"/>
              </w:rPr>
              <w:t>202</w:t>
            </w:r>
            <w:r w:rsidR="006A195C" w:rsidRPr="006A195C">
              <w:rPr>
                <w:rFonts w:ascii="GHEA Grapalat" w:hAnsi="GHEA Grapalat"/>
                <w:lang w:val="en-US"/>
              </w:rPr>
              <w:t>4</w:t>
            </w:r>
            <w:r w:rsidRPr="006A195C">
              <w:rPr>
                <w:rFonts w:ascii="GHEA Grapalat" w:hAnsi="GHEA Grapalat"/>
                <w:lang w:val="en-US"/>
              </w:rPr>
              <w:t>-202</w:t>
            </w:r>
            <w:r w:rsidRPr="006A195C">
              <w:rPr>
                <w:rFonts w:ascii="GHEA Grapalat" w:hAnsi="GHEA Grapalat"/>
                <w:lang w:val="hy-AM"/>
              </w:rPr>
              <w:t>5</w:t>
            </w:r>
            <w:r w:rsidR="00397F95" w:rsidRPr="006A195C">
              <w:rPr>
                <w:rFonts w:ascii="GHEA Grapalat" w:hAnsi="GHEA Grapalat"/>
                <w:lang w:val="en-US"/>
              </w:rPr>
              <w:t>թթ.</w:t>
            </w:r>
          </w:p>
        </w:tc>
      </w:tr>
      <w:tr w:rsidR="003814E3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3814E3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Cs/>
                <w:i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i/>
                <w:lang w:val="hy-AM"/>
              </w:rPr>
              <w:t xml:space="preserve">Ծրագրի իրագործման տարածք </w:t>
            </w:r>
          </w:p>
          <w:p w:rsidR="003814E3" w:rsidRPr="006A195C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7452" w:type="dxa"/>
          </w:tcPr>
          <w:p w:rsidR="003814E3" w:rsidRPr="006A195C" w:rsidRDefault="00822853" w:rsidP="00454411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6A195C">
              <w:rPr>
                <w:rFonts w:ascii="GHEA Grapalat" w:hAnsi="GHEA Grapalat"/>
                <w:lang w:val="hy-AM"/>
              </w:rPr>
              <w:t>ՀՀ Շիրակի, Լոռու, Տավուշի</w:t>
            </w:r>
            <w:r w:rsidR="00454411" w:rsidRPr="006A195C">
              <w:rPr>
                <w:rFonts w:ascii="GHEA Grapalat" w:hAnsi="GHEA Grapalat"/>
                <w:lang w:val="hy-AM"/>
              </w:rPr>
              <w:t xml:space="preserve"> և</w:t>
            </w:r>
            <w:r w:rsidRPr="006A195C">
              <w:rPr>
                <w:rFonts w:ascii="GHEA Grapalat" w:hAnsi="GHEA Grapalat"/>
                <w:lang w:val="hy-AM"/>
              </w:rPr>
              <w:t xml:space="preserve"> Արարատի մարզեր:</w:t>
            </w:r>
          </w:p>
        </w:tc>
      </w:tr>
      <w:tr w:rsidR="003814E3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i/>
                <w:lang w:val="hy-AM"/>
              </w:rPr>
              <w:t>Ծրագրի ընդհանուր արժեքը</w:t>
            </w:r>
          </w:p>
        </w:tc>
        <w:tc>
          <w:tcPr>
            <w:tcW w:w="7452" w:type="dxa"/>
          </w:tcPr>
          <w:p w:rsidR="003814E3" w:rsidRPr="006A195C" w:rsidRDefault="00F5595D" w:rsidP="00E1423C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6A195C">
              <w:rPr>
                <w:rFonts w:ascii="GHEA Grapalat" w:hAnsi="GHEA Grapalat"/>
                <w:lang w:val="hy-AM"/>
              </w:rPr>
              <w:t xml:space="preserve">Նախնական հաշվարկներով անհրաժեշտ գումարը կազմում է շուրջ </w:t>
            </w:r>
            <w:r w:rsidR="00E1423C" w:rsidRPr="006A195C">
              <w:rPr>
                <w:rFonts w:ascii="GHEA Grapalat" w:hAnsi="GHEA Grapalat"/>
                <w:lang w:val="hy-AM"/>
              </w:rPr>
              <w:t xml:space="preserve">5,6 մլն եվրո </w:t>
            </w:r>
          </w:p>
        </w:tc>
      </w:tr>
      <w:tr w:rsidR="003814E3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i/>
                <w:lang w:val="hy-AM"/>
              </w:rPr>
              <w:t>Ծրագրի գործընկեր շահառու</w:t>
            </w:r>
          </w:p>
        </w:tc>
        <w:tc>
          <w:tcPr>
            <w:tcW w:w="7452" w:type="dxa"/>
          </w:tcPr>
          <w:p w:rsidR="00313810" w:rsidRPr="006A195C" w:rsidRDefault="00CE01D1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Հայաստանի Հանրապետության կառավարությունը ջրային պաշարների պահպանման և կառավարման, ջրի անաչառ բաշխման և օգտագործման, ինչպես նաև միջազգային ջրային հարցերի համար հիմնական պատասխանատուն է։ </w:t>
            </w:r>
          </w:p>
        </w:tc>
      </w:tr>
      <w:tr w:rsidR="003814E3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i/>
                <w:lang w:val="hy-AM"/>
              </w:rPr>
              <w:t>Ծրագրի նպատակը</w:t>
            </w:r>
          </w:p>
        </w:tc>
        <w:tc>
          <w:tcPr>
            <w:tcW w:w="7452" w:type="dxa"/>
          </w:tcPr>
          <w:p w:rsidR="002F1A67" w:rsidRPr="006A195C" w:rsidRDefault="002F1A67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ջրային օրենսգիրքը սահմանում է, որ Կառավարությունը պատասխանատու է պետական սեփականություն հանդիսացող ջրամբարների օգտագործման, պահպանման, կապիտալ ներդրումների և անվտանգության համար։ Կառավարությունն ապահովում է, որպեսզի հավաքվեն այդ գործունեության իրականացման համար պահանջվող բոլոր միջոցները, ավարտին հասցվեն առնչվող աշխատանքները, ջրամբարները շարունակ</w:t>
            </w:r>
            <w:r w:rsidR="009B22D8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աբար աշխատեն հուսալի և անվտանգ։</w:t>
            </w:r>
          </w:p>
          <w:p w:rsidR="002F1A67" w:rsidRPr="006A195C" w:rsidRDefault="002F1A67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ՀՏԿ-ների անվտանգության ապահովման հիմքերն են 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դրանց՝</w:t>
            </w:r>
          </w:p>
          <w:p w:rsidR="002F1A67" w:rsidRPr="006A195C" w:rsidRDefault="002F1A67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1) վթարի թույլատրելի ռիսկի աստիճանի ապահովումը.</w:t>
            </w:r>
          </w:p>
          <w:p w:rsidR="002F1A67" w:rsidRPr="006A195C" w:rsidRDefault="002F1A67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2) անվտանգության մասին ներկայացվող հայտարարագիրը.</w:t>
            </w:r>
          </w:p>
          <w:p w:rsidR="002F1A67" w:rsidRPr="006A195C" w:rsidRDefault="002F1A67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3) գործունեության իրականացման թույլտվության կարգը.</w:t>
            </w:r>
          </w:p>
          <w:p w:rsidR="002F1A67" w:rsidRPr="006A195C" w:rsidRDefault="002F1A67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4) օգտագործման անընդհատության ապահովումը.</w:t>
            </w:r>
          </w:p>
          <w:p w:rsidR="004F1D8F" w:rsidRPr="006A195C" w:rsidRDefault="002F1A67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5) անվտանգությունն ապահովող միջոցառումները</w:t>
            </w:r>
            <w:r w:rsidR="0048262B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  <w:p w:rsidR="002F1A67" w:rsidRPr="006A195C" w:rsidRDefault="002F1A67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6) ՀՏԿ-ում նախապես իրականացվող համալիր այն միջոցառումները, որոնք հնարավորություն են տալիս առավելագույնս նվազեցնելու արտակարգ իրավիճակների առաջացման հնարավորությունը.</w:t>
            </w:r>
          </w:p>
          <w:p w:rsidR="002F1A67" w:rsidRPr="006A195C" w:rsidRDefault="002F1A67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7) անձանց պատասխանատվությունն այն գործողությունների համար, որոնք, թույլատրելի աստիճանի համեմատությամբ, նվազեցրել են ՀՏԿ-ների անվտանգությունը:</w:t>
            </w:r>
          </w:p>
          <w:p w:rsidR="00F832DC" w:rsidRPr="006A195C" w:rsidRDefault="002F1A67" w:rsidP="00462CEE">
            <w:pPr>
              <w:tabs>
                <w:tab w:val="num" w:pos="720"/>
                <w:tab w:val="left" w:pos="1470"/>
              </w:tabs>
              <w:spacing w:line="288" w:lineRule="auto"/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Թվով 4 ջրամբարների մոտ</w:t>
            </w:r>
            <w:r w:rsidR="00462CEE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առկա են որոշակի խնդիրներ և 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անհրաժեշտ է լուծել այդ խնդիրները։</w:t>
            </w:r>
          </w:p>
        </w:tc>
      </w:tr>
      <w:tr w:rsidR="003814E3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DE29C5">
            <w:pPr>
              <w:rPr>
                <w:rFonts w:ascii="GHEA Grapalat" w:hAnsi="GHEA Grapalat" w:cs="DejaVuSerif-Bold"/>
                <w:bCs/>
                <w:i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i/>
                <w:lang w:val="hy-AM"/>
              </w:rPr>
              <w:lastRenderedPageBreak/>
              <w:t xml:space="preserve">Ծրագրի կապը ՀՀ կառավարության քաղաքականության և միջազգային ու ազգային ռազմավարական փաստաթղթերի հետ </w:t>
            </w:r>
          </w:p>
          <w:p w:rsidR="003814E3" w:rsidRPr="006A195C" w:rsidRDefault="003814E3" w:rsidP="003814E3">
            <w:pPr>
              <w:rPr>
                <w:rFonts w:ascii="GHEA Grapalat" w:hAnsi="GHEA Grapalat" w:cs="DejaVuSerif-Bold"/>
                <w:bCs/>
                <w:lang w:val="hy-AM"/>
              </w:rPr>
            </w:pPr>
          </w:p>
        </w:tc>
        <w:tc>
          <w:tcPr>
            <w:tcW w:w="7452" w:type="dxa"/>
          </w:tcPr>
          <w:p w:rsidR="00F832DC" w:rsidRPr="006A195C" w:rsidRDefault="00F5595D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Միջոցառման իրականացման հիմք է հանդիսանում ՀՀ ազգային ժողովի 2021 թվականի «Հայաստանի Հանրապետության կառավարության ծրագրին հավանություն տալու մասին» որոշմամբ հավանության արժանացած ՀՀ կառավարության 2021 թվականի օգոստոսի 18-ի N 1363-Ա որոշման 3.3 «Ջրային տնտեսություն» բաժինը</w:t>
            </w:r>
            <w:r w:rsidR="00754316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</w:p>
          <w:p w:rsidR="00F832DC" w:rsidRPr="006A195C" w:rsidRDefault="00F832DC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832DC" w:rsidRPr="006A195C" w:rsidRDefault="00F832DC" w:rsidP="00C843BF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814E3" w:rsidRPr="006A195C" w:rsidTr="00F6671D">
        <w:trPr>
          <w:tblCellSpacing w:w="20" w:type="dxa"/>
        </w:trPr>
        <w:tc>
          <w:tcPr>
            <w:tcW w:w="10581" w:type="dxa"/>
            <w:gridSpan w:val="2"/>
            <w:shd w:val="clear" w:color="auto" w:fill="F2F2F2" w:themeFill="background1" w:themeFillShade="F2"/>
          </w:tcPr>
          <w:p w:rsidR="003814E3" w:rsidRPr="006A195C" w:rsidRDefault="003814E3" w:rsidP="003814E3">
            <w:pPr>
              <w:rPr>
                <w:rFonts w:ascii="GHEA Grapalat" w:hAnsi="GHEA Grapalat"/>
                <w:b/>
                <w:lang w:val="hy-AM"/>
              </w:rPr>
            </w:pPr>
            <w:r w:rsidRPr="006A195C">
              <w:rPr>
                <w:rFonts w:ascii="GHEA Grapalat" w:hAnsi="GHEA Grapalat" w:cs="DejaVuSerif-Bold"/>
                <w:b/>
                <w:bCs/>
                <w:lang w:val="hy-AM"/>
              </w:rPr>
              <w:t>Նկարագրություն</w:t>
            </w:r>
          </w:p>
        </w:tc>
      </w:tr>
      <w:tr w:rsidR="003814E3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3814E3">
            <w:pPr>
              <w:rPr>
                <w:rFonts w:ascii="GHEA Grapalat" w:hAnsi="GHEA Grapalat" w:cs="DejaVuSerif-Bold"/>
                <w:bCs/>
                <w:i/>
                <w:lang w:val="hy-AM"/>
              </w:rPr>
            </w:pPr>
            <w:r w:rsidRPr="006A195C">
              <w:rPr>
                <w:rFonts w:ascii="GHEA Grapalat" w:eastAsia="Times New Roman" w:hAnsi="GHEA Grapalat" w:cs="Sylfaen"/>
                <w:i/>
                <w:lang w:val="hy-AM"/>
              </w:rPr>
              <w:t>Օրենսդրական դաշտը</w:t>
            </w:r>
          </w:p>
        </w:tc>
        <w:tc>
          <w:tcPr>
            <w:tcW w:w="7452" w:type="dxa"/>
            <w:shd w:val="clear" w:color="auto" w:fill="FFFFFF" w:themeFill="background1"/>
          </w:tcPr>
          <w:p w:rsidR="00F832DC" w:rsidRPr="006A195C" w:rsidRDefault="003037B1" w:rsidP="00462CEE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Գործող ջրամբարների վերականգնումը</w:t>
            </w:r>
            <w:r w:rsidR="00521AEF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կարգավորվում է ՀՀ ջրային օրենսգրքով, &lt;&lt;Հայաստանի Հանրապետության ջրի ազգային ծրագրի մասին&gt;&gt; ՀՀ օրենքով, &lt;&lt;Հայաստանի Հանրապետության ջրի ազգային քաղաքականության հիմնադրույթների մասին&gt;&gt; ՀՀ օրենքով, </w:t>
            </w:r>
            <w:r w:rsidR="00462CEE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&lt;&lt;Սևանա լճի մասին&gt;&gt; ՀՀ օրենքով, ՀՀ կառավարության 31</w:t>
            </w:r>
            <w:r w:rsidR="00462CEE" w:rsidRPr="006A195C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․07․2003</w:t>
            </w:r>
            <w:r w:rsidR="00462CEE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462CEE" w:rsidRPr="006A195C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  <w:r w:rsidR="00462CEE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&lt;&lt;Հիդրոտեխնիկական կառուցվածքների անվտանգության հայտարարագրի բովադակությունը, դրա մշակման և փորփաքննության իրականացման կարգը հաստատելու մասին&gt;&gt;</w:t>
            </w:r>
            <w:r w:rsidR="00462CEE" w:rsidRPr="006A195C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  </w:t>
            </w:r>
            <w:r w:rsidR="00462CEE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957-Ն որոշումը</w:t>
            </w:r>
            <w:r w:rsidR="00521AEF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այլ իրավական </w:t>
            </w:r>
            <w:r w:rsidR="00C95E7F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ակտերով, տեխնիկական փաստաթղթեր</w:t>
            </w:r>
            <w:r w:rsidR="00493DA5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ով</w:t>
            </w:r>
            <w:r w:rsidR="00C95E7F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։</w:t>
            </w:r>
          </w:p>
        </w:tc>
      </w:tr>
      <w:tr w:rsidR="003814E3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3814E3">
            <w:pPr>
              <w:rPr>
                <w:rFonts w:ascii="GHEA Grapalat" w:eastAsia="Times New Roman" w:hAnsi="GHEA Grapalat" w:cs="Sylfaen"/>
                <w:i/>
                <w:lang w:val="hy-AM"/>
              </w:rPr>
            </w:pPr>
            <w:r w:rsidRPr="006A195C">
              <w:rPr>
                <w:rFonts w:ascii="GHEA Grapalat" w:eastAsia="Times New Roman" w:hAnsi="GHEA Grapalat" w:cs="Sylfaen"/>
                <w:i/>
                <w:lang w:val="hy-AM"/>
              </w:rPr>
              <w:t>Առկա իրավիճակը</w:t>
            </w:r>
          </w:p>
        </w:tc>
        <w:tc>
          <w:tcPr>
            <w:tcW w:w="7452" w:type="dxa"/>
            <w:shd w:val="clear" w:color="auto" w:fill="FFFFFF" w:themeFill="background1"/>
          </w:tcPr>
          <w:p w:rsidR="00F053F2" w:rsidRPr="006A195C" w:rsidRDefault="00F053F2" w:rsidP="00F053F2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Հայաստանի Հանրապետությունում 1990-ական թվականներից հետո շահագործման և պահպանման գումարների խիստ անբավարարության պայմաններում, ջրամբարների անվտանգ շահագործումն ապահովող կառուցվածքների տեխնիկական վիճակը վատթարացել է, ինչն ի վերջո կարող է առաջ բերել վթարներ և պատվարների փլուզումներ:</w:t>
            </w:r>
          </w:p>
          <w:p w:rsidR="005E1A3F" w:rsidRPr="006A195C" w:rsidRDefault="00F053F2" w:rsidP="00F053F2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Ջրամբարների անվտանգության ապահովման համալիր ծրագրերը</w:t>
            </w:r>
            <w:r w:rsidR="005E1A3F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կարևոր ռազմավարական նշանակություն ունի ոչ միայն անվտանգության ապահովման, փլուզման և այլ </w:t>
            </w:r>
            <w:r w:rsidR="005E1A3F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տարերային աղետների կանխարգելման առումով, այլ նաև շահագործողական բնութագիչների բարձրացման առումով </w:t>
            </w:r>
            <w:r w:rsidR="003037B1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ևս </w:t>
            </w:r>
            <w:r w:rsidR="005E1A3F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կարևոր է։</w:t>
            </w:r>
          </w:p>
          <w:p w:rsidR="00F053F2" w:rsidRPr="006A195C" w:rsidRDefault="005E1A3F" w:rsidP="00F053F2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</w:t>
            </w:r>
            <w:r w:rsidR="00F053F2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ործող 4 ջրամբարներում վերականգնո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ղական աշխատանքներն են․</w:t>
            </w:r>
          </w:p>
          <w:p w:rsidR="00AC4EB6" w:rsidRPr="006A195C" w:rsidRDefault="00AC4EB6" w:rsidP="00CA115E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CA115E" w:rsidRPr="006A195C" w:rsidRDefault="00CA115E" w:rsidP="006D2A9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1.</w:t>
            </w:r>
            <w:r w:rsidR="006215F4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Այգեձոր (</w:t>
            </w:r>
            <w:r w:rsidR="00CD7FD0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Խնձորուտ</w:t>
            </w:r>
            <w:r w:rsidR="006215F4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  <w:p w:rsidR="006D2A9D" w:rsidRPr="006A195C" w:rsidRDefault="006D2A9D" w:rsidP="006D2A9D">
            <w:pPr>
              <w:ind w:firstLine="42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Տավուշի մարզի Այգեձորի (Խնձորուտի) ջրամբարի վերականգնման համար </w:t>
            </w:r>
            <w:r w:rsidR="00355D71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իրականացվել են 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ուսումնասիրություններ և </w:t>
            </w:r>
            <w:r w:rsidR="003E77A6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տեխնիկական վիճակի ակնադիտական զննմամբ հայտնաբերվել է, որ հողալիցքային պատվարի վերին շեպը</w:t>
            </w:r>
            <w:r w:rsidR="004E0274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3E77A6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ենթարկված է ալիքային մշակման</w:t>
            </w:r>
            <w:r w:rsidR="005A381C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 Շեպի սահմաններից վերև, մինչև գագաթի եզրապատ գտնվող ամբողջ տարածքը թփակալված վիճակում է: Ներքին շեպի կողմի եզրապատի բետոնը հողմնահարված վիճակում է: Ջրամբարի թասի մեռյալ ծավալի սահմաններում, կուտակվող կոշտ բերվածքների մաքրում-լվացում հատակային ջրթողի միջոցով վերջին 10-12 տարում չի կատարվել:</w:t>
            </w:r>
          </w:p>
          <w:p w:rsidR="00CE0BD2" w:rsidRPr="006A195C" w:rsidRDefault="00CE0BD2" w:rsidP="006D2A9D">
            <w:pPr>
              <w:ind w:firstLine="42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Հատակային և իռիգացիոն </w:t>
            </w:r>
            <w:r w:rsidR="00F82E10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կառուցվածքում համատեղված են հատակային հատակային ջրթողն ու իռիգացիոն </w:t>
            </w:r>
            <w:r w:rsidR="00110742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ճնշ</w:t>
            </w:r>
            <w:r w:rsidR="00F82E10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ումային d=500մմ ջրատարը:</w:t>
            </w:r>
            <w:r w:rsidR="00110742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:rsidR="006215F4" w:rsidRPr="006A195C" w:rsidRDefault="006215F4" w:rsidP="003037B1">
            <w:pPr>
              <w:tabs>
                <w:tab w:val="left" w:pos="0"/>
              </w:tabs>
              <w:spacing w:line="276" w:lineRule="auto"/>
              <w:ind w:left="-107" w:firstLine="6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Մասնագիտական խմբի կողմից առաջարկվել է առաջնահերթ լուծել Այգեձորի ջրամբարի աջ ափի հեղեղային ջրհեռ կառուցվածքի ջրընդունիչի </w:t>
            </w:r>
            <w:r w:rsidR="00BF03F5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վերականգնման-վերակառուցման 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խնդիրը և կատարել ջրամբարի թասի դիտակետի վերականգնման աշխատանքներ: </w:t>
            </w:r>
          </w:p>
          <w:p w:rsidR="00355D71" w:rsidRPr="006A195C" w:rsidRDefault="00355D71" w:rsidP="00355D71">
            <w:pPr>
              <w:spacing w:line="276" w:lineRule="auto"/>
              <w:ind w:left="180"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1.Արփի լիճ</w:t>
            </w:r>
          </w:p>
          <w:p w:rsidR="00355D71" w:rsidRPr="006A195C" w:rsidRDefault="00355D71" w:rsidP="00355D71">
            <w:pPr>
              <w:framePr w:hSpace="180" w:wrap="around" w:vAnchor="text" w:hAnchor="text" w:y="1"/>
              <w:spacing w:line="276" w:lineRule="auto"/>
              <w:ind w:firstLine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Շիրակի մարզի Արփի լճի ջրամբարի վերականգնման համար ուսումնասիրություններ և հետազոտություններ են կատարվել «ԱՌՈՒՓ» ընկերության կողմից և ներկայացվել են համապատասխան առաջարկություններ, որի մասով կազմված հաշվետվությունն ամբողջապես արտացոլում է պատվարի ու փականային տնտեսության տեխնիկական վիճակն ու նախատեսում պահանջվող լուծումները: </w:t>
            </w:r>
          </w:p>
          <w:p w:rsidR="00355D71" w:rsidRPr="006A195C" w:rsidRDefault="00355D71" w:rsidP="00355D71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Հաշվի առնելով ջրամբարի կարևորագույն նշանակությունը, Արփի լճի ջրամբարի պատվարի վերականգնման հետազոտական աշխատանքների իրականացման նպատակով, կատարվել է հարակից տարածքի ջրազրկում, որի ընթացքում &lt;&lt;Հայգյուղշիննախագիծ&gt;&gt; ՍՊԸ-ն կատարել է երկրաբանական, գեոդեզիական, բետոնե կառուցվածքների ամրության և այլ ելակետային ցուցանիշներ ստանալու համար անհրաժեշտ հետազոտություններ: </w:t>
            </w:r>
          </w:p>
          <w:p w:rsidR="00355D71" w:rsidRPr="006A195C" w:rsidRDefault="00355D71" w:rsidP="00355D71">
            <w:pPr>
              <w:framePr w:hSpace="180" w:wrap="around" w:vAnchor="text" w:hAnchor="text" w:y="1"/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</w:t>
            </w:r>
          </w:p>
          <w:p w:rsidR="00355D71" w:rsidRPr="006A195C" w:rsidRDefault="00355D71" w:rsidP="00355D71">
            <w:pPr>
              <w:tabs>
                <w:tab w:val="left" w:pos="318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ՀՀ կառավարության  14.05.2020թ. N 743-Ն որոշումով տրամադրվել է 34,940.0 հազար դրամ, ձեռք են բերվել նախագծանախահաշվային փաստաթղթերը:  աշխատանքների համար պահանջվում է 1,945,896.0 դրամ, ընդ որում՝ 2022 թվականի գումարը կազմում է  1,000,000.0 հազար դրամ, իսկ 2023 թվականին՝ 945,896.0 հազար դրամ:</w:t>
            </w:r>
          </w:p>
          <w:p w:rsidR="00355D71" w:rsidRPr="006A195C" w:rsidRDefault="00355D71" w:rsidP="003037B1">
            <w:pPr>
              <w:tabs>
                <w:tab w:val="left" w:pos="0"/>
              </w:tabs>
              <w:spacing w:line="276" w:lineRule="auto"/>
              <w:ind w:left="-107" w:firstLine="67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DC72C7" w:rsidRPr="006A195C" w:rsidRDefault="00DC72C7" w:rsidP="00DC72C7">
            <w:pPr>
              <w:ind w:firstLine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3.Տավուշի ջրամբար</w:t>
            </w:r>
          </w:p>
          <w:p w:rsidR="00DC72C7" w:rsidRPr="006A195C" w:rsidRDefault="00DC72C7" w:rsidP="00DC72C7">
            <w:pPr>
              <w:spacing w:after="160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Տավուշի ջրամբարի </w:t>
            </w:r>
            <w:r w:rsidR="00355D71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թունելից ֆիլտրացիոն կորուստների հայտնաբերման և հետզհետե 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ավելանալու պատճառով համապատասխան մասնագիտական խմբի կողմից 2019 թվականի մայիս ամսին կատարվել են ուսումնասիրություններ, որոնց արդյունքում հայտնաբերվել են անհանգստացնող որոշ երևույթներ. ջրամբարի իրիգացիոն աշտարակի և ստորասրահի լծորդման հատվածի առաստաղի կարի հատվածում դիտվել է աշտարակի պատի կոնսոլային ելուստի և ստորասրահի լծորդման առաստաղային կ</w:t>
            </w:r>
            <w:r w:rsidR="00FD7AAF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արից ջրաշիթի ծորանցման երևույթ։ 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Անհանգստության պատճառը վերջին ժամանակներում դիտված ծորանցվող ջրի քանակի ավելացումը և կոնսոլային հատվածի կենտրոնական մասում ճկվածության մեծացումն է՝ 7-8 սմ: Աշտարակում առկա d=600մմ տրամաչափի 2 և d=800մմ տրամաչափի 3 խողովակային փականները գտնվում են անաշխատունակ կիսաբաց վիճակում: Դրանց գործարկումը անհրաժեշտ պահին անհնարին է՝ դրանից բխող հետևանքներով: Իրիգացիոն ջրթողի d=600մմ և d=800մմ տրամաչափի երկու խողովակների վերջնամասի 2 փականներից աշխատունակ է մեկը, որն ունի նորոգման կարիք: </w:t>
            </w:r>
          </w:p>
          <w:p w:rsidR="00DC72C7" w:rsidRPr="006A195C" w:rsidRDefault="003037B1" w:rsidP="00DC72C7">
            <w:pPr>
              <w:spacing w:after="160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</w:t>
            </w:r>
            <w:r w:rsidR="00DC72C7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րամբարում առկա թերությունների հայտնաբերման և վերացման նպատակով պատվիրել հիդրոհանգույցի հիմնանորոգման նախագծանախահաշվային փաստաթղթեր: Մինչև հիդրոհանգույցի հիմնանորոգման աշխատանքներ կատարելն առաջարկվել է իրականացնել կանխարգելիչ միջոցառումներ. ջրամբարի իրիգացիոն աշտարակի և ստորասրահի լծորդման հատվածի առաստաղի ճկված հատվածն ամրացնել ժամանակավոր ամրակապերով, դրանց պատրաստման համար օգտագործելով՝ կանգնակների և առաստաղի համար մետաղյա երկտավր՝ առնվազն h=300մմ, իսկ   հատակին, կանգնակների հենման համար պողպատե թերթ՝ առնվազն 10 մմ հաստությամբ: </w:t>
            </w:r>
          </w:p>
          <w:p w:rsidR="00DC72C7" w:rsidRPr="006A195C" w:rsidRDefault="00DC72C7" w:rsidP="00DC72C7">
            <w:pPr>
              <w:spacing w:after="160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Տավուշի մարզի Տավուշ ջրամբարի վերականգնման նախագծանախահաշվային փաստաթղթերի ձեռբերման համար Ջրային կոմիտեի կողմից &lt;&lt;Գնումների մասին&gt;&gt; Հայաստանի Հանրապետության օրենքի 15-րդ հոդվածի 6-</w:t>
            </w:r>
            <w:r w:rsidR="00FD7AAF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րդ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մասի համաձայն իրականացվել է ՋԿ–ԳՀԱՇՁԲ-19/2-Ն ծածկագրով մրցութային գործընթաց: Արդյունքում, Ջրային Կոմիտեի և 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&lt;&lt;Հայգյուղշիննախագիծ&gt;&gt; ՍՊԸ-ի միջև 2019 թվա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կանի հոկտեմբերի 23-ին կնքվել է N ՋԿ–ԳՀԱՇՁԲ-19/2-Ն-1 պայ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>մա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softHyphen/>
              <w:t xml:space="preserve">նագիրը՝ 30,000.0 հազար դրամ գումարով՝ պայմանով, որ 6 ամսվա ընթացքում անհրաժեշտ ֆինանսական միջոցներ նախատեսվելու դեպքում անհրաժեշտ է կնքել համաձայնագիր պայմանագրի կատարման համար: </w:t>
            </w:r>
          </w:p>
          <w:p w:rsidR="00F832DC" w:rsidRPr="006A195C" w:rsidRDefault="005348B9" w:rsidP="008E1D81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4)</w:t>
            </w:r>
            <w:r w:rsidR="00FB69E2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Ազատի ջրամբար</w:t>
            </w:r>
          </w:p>
          <w:p w:rsidR="005E1A3F" w:rsidRPr="006A195C" w:rsidRDefault="00AA4324" w:rsidP="00AA4324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Ազատի ջրամբարում իրականացնելով հակաֆիլտրացիոն միջոցառումներ ջրամբարի թասում, ջրամբարի տակ գտնվող ջրծեծ հորում և մոտեցնող ջրանցքների վրա հնարավոր կլինի զգալի մեծացնել ջրամբարի արդյունավետությունը:</w:t>
            </w:r>
          </w:p>
          <w:p w:rsidR="00D2621C" w:rsidRPr="006A195C" w:rsidRDefault="00D2621C" w:rsidP="00AA4324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AC4EB6" w:rsidRPr="006A195C" w:rsidRDefault="005348B9" w:rsidP="00AA4324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Ազատի ջրամբարի կառուցվածքներում առկա և հետազոտման ենթակա խնդիրն</w:t>
            </w:r>
            <w:r w:rsidR="003037B1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րի շրջանակը պարզելու նպատակով մասնագիտական խումբը 2019թ. այցելել է </w:t>
            </w:r>
            <w:r w:rsidR="00AC4EB6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ուսու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մնասիրվող հիդրոհանգույց:  </w:t>
            </w:r>
          </w:p>
          <w:p w:rsidR="00AC4EB6" w:rsidRPr="006A195C" w:rsidRDefault="00AC4EB6" w:rsidP="00AA4324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Ակնադիտական ուս</w:t>
            </w:r>
            <w:r w:rsidR="00D2621C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</w:t>
            </w: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մնասիրությունների և շահագործող անձնակազմի պատասխանատուների հետ քննարկումների արդյունքում պարզվել է</w:t>
            </w:r>
            <w:r w:rsidR="00D2621C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որ անհրաժեշտ է </w:t>
            </w:r>
            <w:r w:rsidR="00995E6D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մշակել ինժեներական միջոցառումներ ջրամբարի աջ ափում առաջացող չնախատեսված ֆիլտրացիոն հոսքերը չեզոքացնելու </w:t>
            </w:r>
            <w:r w:rsidR="00960004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նպատակով:</w:t>
            </w:r>
            <w:r w:rsidR="00995E6D"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:rsidR="00AC4EB6" w:rsidRPr="006A195C" w:rsidRDefault="003037B1" w:rsidP="003C4344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A19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</w:p>
        </w:tc>
      </w:tr>
      <w:tr w:rsidR="003814E3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313810">
            <w:pPr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lastRenderedPageBreak/>
              <w:t xml:space="preserve">Ծրագրի </w:t>
            </w:r>
            <w:r w:rsidR="00EE6E27"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>իրագործ</w:t>
            </w:r>
            <w:r w:rsidR="00313810"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ման </w:t>
            </w:r>
            <w:r w:rsidR="00EE6E27"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>արդյունքը/</w:t>
            </w:r>
            <w:r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նպատակը </w:t>
            </w:r>
          </w:p>
        </w:tc>
        <w:tc>
          <w:tcPr>
            <w:tcW w:w="7452" w:type="dxa"/>
            <w:shd w:val="clear" w:color="auto" w:fill="FFFFFF" w:themeFill="background1"/>
          </w:tcPr>
          <w:p w:rsidR="003814E3" w:rsidRPr="006A195C" w:rsidRDefault="00FD071E" w:rsidP="003037B1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6A195C">
              <w:rPr>
                <w:rFonts w:ascii="GHEA Grapalat" w:hAnsi="GHEA Grapalat"/>
                <w:sz w:val="24"/>
                <w:szCs w:val="24"/>
                <w:lang w:val="hy-AM"/>
              </w:rPr>
              <w:t>Գործող ջրամբարների վերականգնումը հնարավորություն կտա լուծելու անվտագության բարձրացմանն ուղղված մի շարք հարցեր։</w:t>
            </w:r>
          </w:p>
        </w:tc>
      </w:tr>
      <w:tr w:rsidR="003814E3" w:rsidRPr="006A195C" w:rsidTr="00F6671D">
        <w:trPr>
          <w:trHeight w:val="253"/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3814E3">
            <w:pPr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>Ծրագրի նկարագրությունը</w:t>
            </w:r>
          </w:p>
        </w:tc>
        <w:tc>
          <w:tcPr>
            <w:tcW w:w="7452" w:type="dxa"/>
            <w:shd w:val="clear" w:color="auto" w:fill="FFFFFF" w:themeFill="background1"/>
          </w:tcPr>
          <w:p w:rsidR="00ED51EF" w:rsidRPr="006A195C" w:rsidRDefault="0018328C" w:rsidP="0018328C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eastAsia="Times New Roman" w:hAnsi="GHEA Grapalat" w:cs="Sylfaen"/>
                <w:color w:val="FF0000"/>
                <w:sz w:val="10"/>
                <w:szCs w:val="10"/>
                <w:lang w:val="hy-AM"/>
              </w:rPr>
            </w:pPr>
            <w:r w:rsidRPr="006A195C">
              <w:rPr>
                <w:rFonts w:ascii="GHEA Grapalat" w:hAnsi="GHEA Grapalat"/>
                <w:sz w:val="24"/>
                <w:szCs w:val="24"/>
                <w:lang w:val="hy-AM"/>
              </w:rPr>
              <w:t>Ջրամբարներից ներքև տեղաբաշխված են մեծ և փոքր բնակավայրեր, կարևոր  հաղորդակցության ուղիներ և ավտոճանապարհներ, բարձր ռիսկայության այլ օբյեկտներ, որոց անվտանգության չափանիշներով պահպանումը և շահագործումը հանդիսանում են կենսական և ռազմավարական նշանակությամբ խնդիրներ։</w:t>
            </w:r>
          </w:p>
        </w:tc>
      </w:tr>
      <w:tr w:rsidR="003814E3" w:rsidRPr="006A195C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6A195C" w:rsidRDefault="003814E3" w:rsidP="003814E3">
            <w:pPr>
              <w:rPr>
                <w:rFonts w:ascii="GHEA Grapalat" w:eastAsia="Times New Roman" w:hAnsi="GHEA Grapalat" w:cs="Sylfaen"/>
                <w:lang w:val="hy-AM"/>
              </w:rPr>
            </w:pPr>
            <w:r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>Ծրագրի իրականացման համար անհրաժեշտ գոր</w:t>
            </w:r>
            <w:r w:rsidR="00A67A05"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>ծ</w:t>
            </w:r>
            <w:r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>ողությունները</w:t>
            </w:r>
          </w:p>
        </w:tc>
        <w:tc>
          <w:tcPr>
            <w:tcW w:w="7452" w:type="dxa"/>
            <w:shd w:val="clear" w:color="auto" w:fill="F2F2F2" w:themeFill="background1" w:themeFillShade="F2"/>
          </w:tcPr>
          <w:p w:rsidR="00C84DF8" w:rsidRPr="006A195C" w:rsidRDefault="00FB69E2" w:rsidP="00C84DF8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A195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Ջրամբարների վերականգնման համար</w:t>
            </w:r>
            <w:r w:rsidR="00C84DF8" w:rsidRPr="006A195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անհրաժեշտ է</w:t>
            </w:r>
            <w:r w:rsidR="00C84DF8" w:rsidRPr="006A195C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C84DF8" w:rsidRPr="006A195C" w:rsidRDefault="00FB69E2" w:rsidP="00C84DF8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A195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Արփի լճի վերականգնում և վերազինում</w:t>
            </w:r>
            <w:r w:rsidR="00FD071E" w:rsidRPr="006A195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 նախագծանախահաշվային փաստաթղթերը արդեն կազմվել են</w:t>
            </w:r>
          </w:p>
          <w:p w:rsidR="00521AEF" w:rsidRPr="006A195C" w:rsidRDefault="003037B1" w:rsidP="00FB69E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A195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Այգեձորի ջրամբարի</w:t>
            </w:r>
            <w:r w:rsidR="00FB69E2" w:rsidRPr="006A195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վերականգնում և վերազինում</w:t>
            </w:r>
          </w:p>
          <w:p w:rsidR="00FB69E2" w:rsidRPr="006A195C" w:rsidRDefault="00FB69E2" w:rsidP="00FB69E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A195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Ազատի ջրամբարի վերականգնում  և վերազինում</w:t>
            </w:r>
            <w:r w:rsidR="0018328C" w:rsidRPr="006A195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 ներառյալ նախագծանախահաշվային փաստաթղթերի վերանայում</w:t>
            </w:r>
          </w:p>
          <w:p w:rsidR="00FB69E2" w:rsidRPr="006A195C" w:rsidRDefault="00FB69E2" w:rsidP="00FB69E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A195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Տավուշի ջրամբարի վերականգնում և վերազինում՝ </w:t>
            </w:r>
            <w:r w:rsidRPr="006A195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ներառյալ նախագծանախահաշվային փաստաթղթերի կազմում</w:t>
            </w:r>
          </w:p>
          <w:p w:rsidR="0062029A" w:rsidRPr="006A195C" w:rsidRDefault="0062029A" w:rsidP="0018328C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</w:p>
        </w:tc>
      </w:tr>
    </w:tbl>
    <w:p w:rsidR="00F832DC" w:rsidRPr="006A195C" w:rsidRDefault="00F832DC" w:rsidP="00A67A05">
      <w:pPr>
        <w:spacing w:line="276" w:lineRule="auto"/>
        <w:ind w:left="-270" w:right="-92"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493DA5" w:rsidRPr="006A195C" w:rsidRDefault="003A36D5" w:rsidP="00493DA5">
      <w:pPr>
        <w:spacing w:line="276" w:lineRule="auto"/>
        <w:ind w:left="-270" w:right="-92"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6A195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Գործող ջրամբարների վերականգնման</w:t>
      </w:r>
      <w:r w:rsidR="00493DA5" w:rsidRPr="006A195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համար անհրաժեշտ գործողությունների, դրանց ժամկետների ու ֆինանսական միջոցների խոշորացված հաշվարկը բերվում է ստորև. </w:t>
      </w:r>
    </w:p>
    <w:p w:rsidR="00493DA5" w:rsidRPr="006A195C" w:rsidRDefault="00493DA5" w:rsidP="00493DA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DejaVuSerif-Bold"/>
          <w:bCs/>
          <w:sz w:val="24"/>
          <w:szCs w:val="24"/>
          <w:lang w:val="en-US"/>
        </w:rPr>
      </w:pPr>
      <w:r w:rsidRPr="006A195C">
        <w:rPr>
          <w:rFonts w:ascii="GHEA Grapalat" w:hAnsi="GHEA Grapalat" w:cs="DejaVuSerif-Bold"/>
          <w:bCs/>
          <w:sz w:val="24"/>
          <w:szCs w:val="24"/>
          <w:lang w:val="en-US"/>
        </w:rPr>
        <w:t xml:space="preserve">մլն </w:t>
      </w:r>
      <w:r w:rsidR="004A6306" w:rsidRPr="006A195C">
        <w:rPr>
          <w:rFonts w:ascii="GHEA Grapalat" w:hAnsi="GHEA Grapalat" w:cs="DejaVuSerif-Bold"/>
          <w:bCs/>
          <w:sz w:val="24"/>
          <w:szCs w:val="24"/>
          <w:lang w:val="en-US"/>
        </w:rPr>
        <w:t>եվրո</w:t>
      </w:r>
    </w:p>
    <w:tbl>
      <w:tblPr>
        <w:tblStyle w:val="TableGrid"/>
        <w:tblW w:w="10314" w:type="dxa"/>
        <w:tblInd w:w="-743" w:type="dxa"/>
        <w:tblLook w:val="04A0" w:firstRow="1" w:lastRow="0" w:firstColumn="1" w:lastColumn="0" w:noHBand="0" w:noVBand="1"/>
      </w:tblPr>
      <w:tblGrid>
        <w:gridCol w:w="634"/>
        <w:gridCol w:w="2791"/>
        <w:gridCol w:w="1236"/>
        <w:gridCol w:w="1160"/>
        <w:gridCol w:w="1135"/>
        <w:gridCol w:w="1074"/>
        <w:gridCol w:w="1210"/>
        <w:gridCol w:w="1074"/>
      </w:tblGrid>
      <w:tr w:rsidR="004C6AD0" w:rsidRPr="006A195C" w:rsidTr="003A36D5">
        <w:tc>
          <w:tcPr>
            <w:tcW w:w="63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2791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1236" w:type="dxa"/>
            <w:vMerge w:val="restart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Ջրամբարի ծավալը, մլն մ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160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2022թ.</w:t>
            </w:r>
          </w:p>
        </w:tc>
        <w:tc>
          <w:tcPr>
            <w:tcW w:w="1135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2023թ.</w:t>
            </w: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2024թ.</w:t>
            </w:r>
          </w:p>
        </w:tc>
        <w:tc>
          <w:tcPr>
            <w:tcW w:w="1210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2025թ.</w:t>
            </w:r>
          </w:p>
        </w:tc>
        <w:tc>
          <w:tcPr>
            <w:tcW w:w="1074" w:type="dxa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2026թ.</w:t>
            </w:r>
          </w:p>
        </w:tc>
      </w:tr>
      <w:tr w:rsidR="004C6AD0" w:rsidRPr="006A195C" w:rsidTr="003A36D5">
        <w:trPr>
          <w:trHeight w:val="541"/>
        </w:trPr>
        <w:tc>
          <w:tcPr>
            <w:tcW w:w="3425" w:type="dxa"/>
            <w:gridSpan w:val="2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 w:rsidRPr="006A195C"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236" w:type="dxa"/>
            <w:vMerge/>
          </w:tcPr>
          <w:p w:rsidR="004C6AD0" w:rsidRPr="006A195C" w:rsidRDefault="004C6AD0" w:rsidP="005544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  <w:vAlign w:val="center"/>
          </w:tcPr>
          <w:p w:rsidR="004C6AD0" w:rsidRPr="006A195C" w:rsidRDefault="004C6AD0" w:rsidP="005544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</w:tr>
      <w:tr w:rsidR="004C6AD0" w:rsidRPr="006A195C" w:rsidTr="003A36D5">
        <w:tc>
          <w:tcPr>
            <w:tcW w:w="3425" w:type="dxa"/>
            <w:gridSpan w:val="2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Նախագծանխահաշվային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փաստաթղթեր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և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փորձաքննություններ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/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ՀՀ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պետական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բյուջե</w:t>
            </w:r>
            <w:r w:rsidRPr="006A195C">
              <w:rPr>
                <w:rFonts w:ascii="GHEA Grapalat" w:hAnsi="GHEA Grapalat" w:cs="DejaVuSerif-Bold"/>
                <w:bCs/>
                <w:sz w:val="20"/>
                <w:szCs w:val="20"/>
              </w:rPr>
              <w:t>/</w:t>
            </w:r>
          </w:p>
        </w:tc>
        <w:tc>
          <w:tcPr>
            <w:tcW w:w="1236" w:type="dxa"/>
            <w:vMerge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4C6AD0" w:rsidRPr="006A195C" w:rsidRDefault="004A6306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0.05</w:t>
            </w:r>
          </w:p>
        </w:tc>
        <w:tc>
          <w:tcPr>
            <w:tcW w:w="1135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</w:tr>
      <w:tr w:rsidR="004C6AD0" w:rsidRPr="006A195C" w:rsidTr="003A36D5">
        <w:tc>
          <w:tcPr>
            <w:tcW w:w="63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91" w:type="dxa"/>
          </w:tcPr>
          <w:p w:rsidR="004C6AD0" w:rsidRPr="006A195C" w:rsidRDefault="00FB69E2" w:rsidP="00454411">
            <w:pPr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Արփի լիճ</w:t>
            </w:r>
          </w:p>
        </w:tc>
        <w:tc>
          <w:tcPr>
            <w:tcW w:w="1236" w:type="dxa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vAlign w:val="center"/>
          </w:tcPr>
          <w:p w:rsidR="004C6AD0" w:rsidRPr="006A195C" w:rsidRDefault="00FD7AAF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3,5</w:t>
            </w:r>
          </w:p>
        </w:tc>
        <w:tc>
          <w:tcPr>
            <w:tcW w:w="1135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</w:tr>
      <w:tr w:rsidR="004C6AD0" w:rsidRPr="006A195C" w:rsidTr="003A36D5">
        <w:tc>
          <w:tcPr>
            <w:tcW w:w="63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791" w:type="dxa"/>
          </w:tcPr>
          <w:p w:rsidR="004C6AD0" w:rsidRPr="006A195C" w:rsidRDefault="00C843BF" w:rsidP="00454411">
            <w:pPr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Այգեձորի</w:t>
            </w:r>
            <w:r w:rsidR="00FB69E2" w:rsidRPr="006A195C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ջրամբար</w:t>
            </w:r>
          </w:p>
        </w:tc>
        <w:tc>
          <w:tcPr>
            <w:tcW w:w="1236" w:type="dxa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vAlign w:val="center"/>
          </w:tcPr>
          <w:p w:rsidR="004C6AD0" w:rsidRPr="006A195C" w:rsidRDefault="00FD7AAF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0,2</w:t>
            </w:r>
          </w:p>
        </w:tc>
        <w:tc>
          <w:tcPr>
            <w:tcW w:w="1135" w:type="dxa"/>
            <w:vAlign w:val="center"/>
          </w:tcPr>
          <w:p w:rsidR="004C6AD0" w:rsidRPr="006A195C" w:rsidRDefault="00FD7AAF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0,5</w:t>
            </w:r>
          </w:p>
        </w:tc>
        <w:tc>
          <w:tcPr>
            <w:tcW w:w="1074" w:type="dxa"/>
            <w:vAlign w:val="center"/>
          </w:tcPr>
          <w:p w:rsidR="004C6AD0" w:rsidRPr="006A195C" w:rsidRDefault="00FD7AAF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0,5</w:t>
            </w:r>
          </w:p>
        </w:tc>
        <w:tc>
          <w:tcPr>
            <w:tcW w:w="1210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</w:tr>
      <w:tr w:rsidR="004C6AD0" w:rsidRPr="006A195C" w:rsidTr="003A36D5">
        <w:tc>
          <w:tcPr>
            <w:tcW w:w="63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791" w:type="dxa"/>
          </w:tcPr>
          <w:p w:rsidR="004C6AD0" w:rsidRPr="006A195C" w:rsidRDefault="00FB69E2" w:rsidP="00454411">
            <w:pPr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Ազատի ջրամբար</w:t>
            </w:r>
          </w:p>
        </w:tc>
        <w:tc>
          <w:tcPr>
            <w:tcW w:w="1236" w:type="dxa"/>
          </w:tcPr>
          <w:p w:rsidR="004C6AD0" w:rsidRPr="006A195C" w:rsidRDefault="004C6AD0" w:rsidP="004C6AD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vAlign w:val="center"/>
          </w:tcPr>
          <w:p w:rsidR="004C6AD0" w:rsidRPr="006A195C" w:rsidRDefault="00FD7AAF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0,2</w:t>
            </w:r>
          </w:p>
        </w:tc>
        <w:tc>
          <w:tcPr>
            <w:tcW w:w="1135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</w:tr>
      <w:tr w:rsidR="004C6AD0" w:rsidRPr="006A195C" w:rsidTr="003A36D5">
        <w:tc>
          <w:tcPr>
            <w:tcW w:w="63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791" w:type="dxa"/>
          </w:tcPr>
          <w:p w:rsidR="004C6AD0" w:rsidRPr="006A195C" w:rsidRDefault="00FB69E2" w:rsidP="003D0C45">
            <w:pPr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</w:t>
            </w:r>
            <w:r w:rsidR="003D0C45" w:rsidRPr="006A195C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</w:t>
            </w:r>
            <w:r w:rsidRPr="006A195C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վուշի ջրամբար</w:t>
            </w:r>
          </w:p>
        </w:tc>
        <w:tc>
          <w:tcPr>
            <w:tcW w:w="1236" w:type="dxa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vAlign w:val="center"/>
          </w:tcPr>
          <w:p w:rsidR="004C6AD0" w:rsidRPr="006A195C" w:rsidRDefault="0006055A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0.05</w:t>
            </w:r>
          </w:p>
        </w:tc>
        <w:tc>
          <w:tcPr>
            <w:tcW w:w="1135" w:type="dxa"/>
            <w:vAlign w:val="center"/>
          </w:tcPr>
          <w:p w:rsidR="004C6AD0" w:rsidRPr="006A195C" w:rsidRDefault="00FD7AAF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0,5</w:t>
            </w:r>
          </w:p>
        </w:tc>
        <w:tc>
          <w:tcPr>
            <w:tcW w:w="1074" w:type="dxa"/>
            <w:vAlign w:val="center"/>
          </w:tcPr>
          <w:p w:rsidR="004C6AD0" w:rsidRPr="006A195C" w:rsidRDefault="00FD7AAF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6A195C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0,5</w:t>
            </w:r>
          </w:p>
        </w:tc>
        <w:tc>
          <w:tcPr>
            <w:tcW w:w="1210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4C6AD0" w:rsidRPr="006A195C" w:rsidRDefault="004C6AD0" w:rsidP="004544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</w:tr>
    </w:tbl>
    <w:p w:rsidR="00F832DC" w:rsidRPr="006A195C" w:rsidRDefault="00F832DC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DejaVuSerif-Bold"/>
          <w:bCs/>
          <w:sz w:val="24"/>
          <w:szCs w:val="24"/>
          <w:lang w:val="hy-AM"/>
        </w:rPr>
      </w:pPr>
    </w:p>
    <w:p w:rsidR="00F832DC" w:rsidRPr="006A195C" w:rsidRDefault="00F832DC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DejaVuSerif-Bold"/>
          <w:bCs/>
          <w:sz w:val="24"/>
          <w:szCs w:val="24"/>
          <w:lang w:val="hy-AM"/>
        </w:rPr>
      </w:pPr>
    </w:p>
    <w:tbl>
      <w:tblPr>
        <w:tblStyle w:val="TableGridLight1"/>
        <w:tblW w:w="10490" w:type="dxa"/>
        <w:tblCellSpacing w:w="2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020F31" w:rsidRPr="006A195C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020F31" w:rsidRPr="006A195C" w:rsidRDefault="00020F31" w:rsidP="00020F31">
            <w:pPr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Ծրագիր մշակող և իրականացման  համակարգող </w:t>
            </w:r>
            <w:r w:rsidRPr="006A195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6744" w:type="dxa"/>
          </w:tcPr>
          <w:p w:rsidR="00020F31" w:rsidRPr="006A195C" w:rsidRDefault="00020F31" w:rsidP="00020F3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A19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տարածքային կառավարման և ենթակառուցվածքների նախարարության ջրային կոմիտե</w:t>
            </w:r>
          </w:p>
        </w:tc>
      </w:tr>
      <w:tr w:rsidR="00020F31" w:rsidRPr="006A195C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020F31" w:rsidRPr="006A195C" w:rsidRDefault="00020F31" w:rsidP="00020F31">
            <w:pPr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>Պատասխանատու պաշտոնատար անձ</w:t>
            </w:r>
            <w:r w:rsidRPr="006A195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6744" w:type="dxa"/>
          </w:tcPr>
          <w:p w:rsidR="00020F31" w:rsidRPr="006A195C" w:rsidRDefault="00020F31" w:rsidP="00020F3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A19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Ջրային կոմիտեի նախագահի պարտականությունները կատարող՝ </w:t>
            </w:r>
            <w:r w:rsidRPr="006A195C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Կարեն Դաղբաշյան</w:t>
            </w:r>
          </w:p>
        </w:tc>
      </w:tr>
      <w:tr w:rsidR="00020F31" w:rsidRPr="006A195C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020F31" w:rsidRPr="006A195C" w:rsidRDefault="00020F31" w:rsidP="00020F31">
            <w:pPr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6A195C">
              <w:rPr>
                <w:rFonts w:ascii="GHEA Grapalat" w:eastAsia="Times New Roman" w:hAnsi="GHEA Grapalat" w:cs="Sylfaen"/>
                <w:b/>
                <w:i/>
                <w:lang w:val="hy-AM"/>
              </w:rPr>
              <w:t>Կոնտակտային պաշտոնատար անձ</w:t>
            </w:r>
          </w:p>
        </w:tc>
        <w:tc>
          <w:tcPr>
            <w:tcW w:w="6744" w:type="dxa"/>
          </w:tcPr>
          <w:p w:rsidR="00020F31" w:rsidRPr="006A195C" w:rsidRDefault="00020F31" w:rsidP="00020F3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A19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Ջրային կոմիտեի գլխավոր քարտուղարի պաշտոնակատար՝ </w:t>
            </w:r>
            <w:r w:rsidRPr="006A195C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Աննա Մարգարյան</w:t>
            </w:r>
          </w:p>
        </w:tc>
      </w:tr>
      <w:tr w:rsidR="006B294E" w:rsidRPr="00A67A05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6B294E" w:rsidRPr="006A195C" w:rsidRDefault="006B294E" w:rsidP="006B294E">
            <w:pP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A195C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  <w:t>Ծրագրային առաջարկի մշակման ամսաթիվ</w:t>
            </w:r>
          </w:p>
        </w:tc>
        <w:tc>
          <w:tcPr>
            <w:tcW w:w="6744" w:type="dxa"/>
          </w:tcPr>
          <w:p w:rsidR="006B294E" w:rsidRPr="00020F31" w:rsidRDefault="00020F31" w:rsidP="006B294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6A195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15.10.2021թ.</w:t>
            </w:r>
          </w:p>
        </w:tc>
      </w:tr>
    </w:tbl>
    <w:p w:rsidR="003814E3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814E3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814E3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814E3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3814E3" w:rsidSect="0054040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4BF"/>
    <w:multiLevelType w:val="hybridMultilevel"/>
    <w:tmpl w:val="37A052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E40"/>
    <w:multiLevelType w:val="hybridMultilevel"/>
    <w:tmpl w:val="269A3E4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770F76"/>
    <w:multiLevelType w:val="hybridMultilevel"/>
    <w:tmpl w:val="9B00EE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9C3629"/>
    <w:multiLevelType w:val="hybridMultilevel"/>
    <w:tmpl w:val="1ED41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64BF"/>
    <w:multiLevelType w:val="hybridMultilevel"/>
    <w:tmpl w:val="9C6A3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9194C"/>
    <w:multiLevelType w:val="hybridMultilevel"/>
    <w:tmpl w:val="547817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7668F"/>
    <w:multiLevelType w:val="hybridMultilevel"/>
    <w:tmpl w:val="6C0C95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36F315C"/>
    <w:multiLevelType w:val="hybridMultilevel"/>
    <w:tmpl w:val="C38C7002"/>
    <w:lvl w:ilvl="0" w:tplc="601A2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6E1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E72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45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E23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2A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277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5603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E71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51262"/>
    <w:multiLevelType w:val="hybridMultilevel"/>
    <w:tmpl w:val="BEF67968"/>
    <w:lvl w:ilvl="0" w:tplc="24A40F4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85B47"/>
    <w:multiLevelType w:val="hybridMultilevel"/>
    <w:tmpl w:val="78D63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F1CD4"/>
    <w:multiLevelType w:val="hybridMultilevel"/>
    <w:tmpl w:val="6B96B2EC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41B31FE"/>
    <w:multiLevelType w:val="hybridMultilevel"/>
    <w:tmpl w:val="5AEA554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16A1430"/>
    <w:multiLevelType w:val="hybridMultilevel"/>
    <w:tmpl w:val="BEF67968"/>
    <w:lvl w:ilvl="0" w:tplc="24A40F4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37EA0"/>
    <w:multiLevelType w:val="hybridMultilevel"/>
    <w:tmpl w:val="07C0AE1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D443606"/>
    <w:multiLevelType w:val="hybridMultilevel"/>
    <w:tmpl w:val="041859E8"/>
    <w:lvl w:ilvl="0" w:tplc="BD90C84E">
      <w:start w:val="202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534E8"/>
    <w:multiLevelType w:val="hybridMultilevel"/>
    <w:tmpl w:val="2BE446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F3E21"/>
    <w:multiLevelType w:val="hybridMultilevel"/>
    <w:tmpl w:val="63C293DA"/>
    <w:lvl w:ilvl="0" w:tplc="809A36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62FC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AFC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4D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F23C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424A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CF5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A9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0CF4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87CC5"/>
    <w:multiLevelType w:val="multilevel"/>
    <w:tmpl w:val="561249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16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15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5"/>
  </w:num>
  <w:num w:numId="16">
    <w:abstractNumId w:val="1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F834DD"/>
    <w:rsid w:val="00005DE6"/>
    <w:rsid w:val="00020F31"/>
    <w:rsid w:val="000406FD"/>
    <w:rsid w:val="0006055A"/>
    <w:rsid w:val="0009295C"/>
    <w:rsid w:val="000B5089"/>
    <w:rsid w:val="000C68B4"/>
    <w:rsid w:val="000E0A21"/>
    <w:rsid w:val="000F016A"/>
    <w:rsid w:val="000F1FC4"/>
    <w:rsid w:val="00110742"/>
    <w:rsid w:val="00115CA7"/>
    <w:rsid w:val="00132534"/>
    <w:rsid w:val="00147879"/>
    <w:rsid w:val="0018328C"/>
    <w:rsid w:val="001C16B6"/>
    <w:rsid w:val="0020408E"/>
    <w:rsid w:val="00225FF9"/>
    <w:rsid w:val="00297A8D"/>
    <w:rsid w:val="002A0BD4"/>
    <w:rsid w:val="002A40F4"/>
    <w:rsid w:val="002F1A67"/>
    <w:rsid w:val="003037B1"/>
    <w:rsid w:val="00313810"/>
    <w:rsid w:val="00321176"/>
    <w:rsid w:val="003230A9"/>
    <w:rsid w:val="00330FFC"/>
    <w:rsid w:val="00355D71"/>
    <w:rsid w:val="003669FE"/>
    <w:rsid w:val="00366B7B"/>
    <w:rsid w:val="003814E3"/>
    <w:rsid w:val="003923C4"/>
    <w:rsid w:val="00397F95"/>
    <w:rsid w:val="003A36D5"/>
    <w:rsid w:val="003C4344"/>
    <w:rsid w:val="003D0C45"/>
    <w:rsid w:val="003D6D7A"/>
    <w:rsid w:val="003E77A6"/>
    <w:rsid w:val="004037A1"/>
    <w:rsid w:val="00431190"/>
    <w:rsid w:val="004324A4"/>
    <w:rsid w:val="00444702"/>
    <w:rsid w:val="00445D02"/>
    <w:rsid w:val="00454411"/>
    <w:rsid w:val="00462CEE"/>
    <w:rsid w:val="0048262B"/>
    <w:rsid w:val="00493DA5"/>
    <w:rsid w:val="004A6306"/>
    <w:rsid w:val="004C6AD0"/>
    <w:rsid w:val="004E0274"/>
    <w:rsid w:val="004F1D8F"/>
    <w:rsid w:val="004F7088"/>
    <w:rsid w:val="00506959"/>
    <w:rsid w:val="00521AEF"/>
    <w:rsid w:val="0052467E"/>
    <w:rsid w:val="005348B9"/>
    <w:rsid w:val="0054040D"/>
    <w:rsid w:val="005516BB"/>
    <w:rsid w:val="005544BC"/>
    <w:rsid w:val="005874E6"/>
    <w:rsid w:val="005A381C"/>
    <w:rsid w:val="005B3D90"/>
    <w:rsid w:val="005C688F"/>
    <w:rsid w:val="005C6C6D"/>
    <w:rsid w:val="005C722E"/>
    <w:rsid w:val="005E1A3F"/>
    <w:rsid w:val="005F2B7E"/>
    <w:rsid w:val="005F7493"/>
    <w:rsid w:val="005F75F7"/>
    <w:rsid w:val="0062029A"/>
    <w:rsid w:val="006215F4"/>
    <w:rsid w:val="00662DF9"/>
    <w:rsid w:val="00696A90"/>
    <w:rsid w:val="006A195C"/>
    <w:rsid w:val="006A4FB6"/>
    <w:rsid w:val="006B294E"/>
    <w:rsid w:val="006D2A9D"/>
    <w:rsid w:val="006F527B"/>
    <w:rsid w:val="00704543"/>
    <w:rsid w:val="007147DD"/>
    <w:rsid w:val="00754316"/>
    <w:rsid w:val="007551C5"/>
    <w:rsid w:val="00765FE4"/>
    <w:rsid w:val="007C4A2A"/>
    <w:rsid w:val="007D66A7"/>
    <w:rsid w:val="00810C47"/>
    <w:rsid w:val="00820963"/>
    <w:rsid w:val="00822853"/>
    <w:rsid w:val="00837F4D"/>
    <w:rsid w:val="00897566"/>
    <w:rsid w:val="008A69DA"/>
    <w:rsid w:val="008E1D81"/>
    <w:rsid w:val="008E3074"/>
    <w:rsid w:val="008E5F10"/>
    <w:rsid w:val="00925062"/>
    <w:rsid w:val="00936AC8"/>
    <w:rsid w:val="009443EB"/>
    <w:rsid w:val="00960004"/>
    <w:rsid w:val="009670FE"/>
    <w:rsid w:val="009718D8"/>
    <w:rsid w:val="009753FC"/>
    <w:rsid w:val="00986F05"/>
    <w:rsid w:val="00995E6D"/>
    <w:rsid w:val="009B22D8"/>
    <w:rsid w:val="009B3EA4"/>
    <w:rsid w:val="009C0504"/>
    <w:rsid w:val="009D05B5"/>
    <w:rsid w:val="009D4607"/>
    <w:rsid w:val="009D574C"/>
    <w:rsid w:val="00A07FC9"/>
    <w:rsid w:val="00A32237"/>
    <w:rsid w:val="00A65C64"/>
    <w:rsid w:val="00A67A05"/>
    <w:rsid w:val="00A7231A"/>
    <w:rsid w:val="00A86721"/>
    <w:rsid w:val="00AA4324"/>
    <w:rsid w:val="00AB0C3C"/>
    <w:rsid w:val="00AC4EB6"/>
    <w:rsid w:val="00B113F9"/>
    <w:rsid w:val="00B62113"/>
    <w:rsid w:val="00B715C6"/>
    <w:rsid w:val="00B90C2E"/>
    <w:rsid w:val="00BF03F5"/>
    <w:rsid w:val="00C308D9"/>
    <w:rsid w:val="00C421AB"/>
    <w:rsid w:val="00C423DA"/>
    <w:rsid w:val="00C5773E"/>
    <w:rsid w:val="00C6433D"/>
    <w:rsid w:val="00C65DF5"/>
    <w:rsid w:val="00C843BF"/>
    <w:rsid w:val="00C84DF8"/>
    <w:rsid w:val="00C9433C"/>
    <w:rsid w:val="00C95E7F"/>
    <w:rsid w:val="00CA115E"/>
    <w:rsid w:val="00CA2F77"/>
    <w:rsid w:val="00CB407D"/>
    <w:rsid w:val="00CC7E67"/>
    <w:rsid w:val="00CD0506"/>
    <w:rsid w:val="00CD7FD0"/>
    <w:rsid w:val="00CE01D1"/>
    <w:rsid w:val="00CE0BD2"/>
    <w:rsid w:val="00CE5FAB"/>
    <w:rsid w:val="00CE663E"/>
    <w:rsid w:val="00D2621C"/>
    <w:rsid w:val="00D47074"/>
    <w:rsid w:val="00D87E76"/>
    <w:rsid w:val="00D96972"/>
    <w:rsid w:val="00DC4262"/>
    <w:rsid w:val="00DC72C7"/>
    <w:rsid w:val="00DE29C5"/>
    <w:rsid w:val="00E02AC7"/>
    <w:rsid w:val="00E05B34"/>
    <w:rsid w:val="00E11E1D"/>
    <w:rsid w:val="00E1423C"/>
    <w:rsid w:val="00E14F4A"/>
    <w:rsid w:val="00E2225C"/>
    <w:rsid w:val="00E607D2"/>
    <w:rsid w:val="00E80B35"/>
    <w:rsid w:val="00E919AD"/>
    <w:rsid w:val="00EB28B1"/>
    <w:rsid w:val="00EB7426"/>
    <w:rsid w:val="00EC36AB"/>
    <w:rsid w:val="00EC382E"/>
    <w:rsid w:val="00ED51EF"/>
    <w:rsid w:val="00EE1E57"/>
    <w:rsid w:val="00EE6E27"/>
    <w:rsid w:val="00EF3039"/>
    <w:rsid w:val="00F053F2"/>
    <w:rsid w:val="00F12DC7"/>
    <w:rsid w:val="00F13A2E"/>
    <w:rsid w:val="00F152AD"/>
    <w:rsid w:val="00F17D38"/>
    <w:rsid w:val="00F4000C"/>
    <w:rsid w:val="00F5595D"/>
    <w:rsid w:val="00F661F8"/>
    <w:rsid w:val="00F6671D"/>
    <w:rsid w:val="00F72656"/>
    <w:rsid w:val="00F73E19"/>
    <w:rsid w:val="00F82E10"/>
    <w:rsid w:val="00F832DC"/>
    <w:rsid w:val="00F834DD"/>
    <w:rsid w:val="00F94790"/>
    <w:rsid w:val="00FA1355"/>
    <w:rsid w:val="00FA3CA4"/>
    <w:rsid w:val="00FA4326"/>
    <w:rsid w:val="00FB69E2"/>
    <w:rsid w:val="00FC6229"/>
    <w:rsid w:val="00FD071E"/>
    <w:rsid w:val="00FD7AAF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064B"/>
  <w15:docId w15:val="{8DB9A6E0-0AB7-4082-84D2-37F5A4BD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,3"/>
    <w:basedOn w:val="Normal"/>
    <w:link w:val="ListParagraphChar"/>
    <w:uiPriority w:val="34"/>
    <w:qFormat/>
    <w:rsid w:val="005C6C6D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99"/>
    <w:locked/>
    <w:rsid w:val="00897566"/>
  </w:style>
  <w:style w:type="table" w:styleId="TableGrid">
    <w:name w:val="Table Grid"/>
    <w:basedOn w:val="TableNormal"/>
    <w:uiPriority w:val="39"/>
    <w:rsid w:val="00C9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814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E27"/>
    <w:rPr>
      <w:rFonts w:ascii="Segoe UI" w:hAnsi="Segoe UI" w:cs="Segoe UI"/>
      <w:sz w:val="18"/>
      <w:szCs w:val="18"/>
    </w:rPr>
  </w:style>
  <w:style w:type="character" w:customStyle="1" w:styleId="mechtexChar">
    <w:name w:val="mechtex Char"/>
    <w:link w:val="mechtex"/>
    <w:uiPriority w:val="99"/>
    <w:locked/>
    <w:rsid w:val="00CE01D1"/>
    <w:rPr>
      <w:rFonts w:ascii="Arial Armenian" w:hAnsi="Arial Armenian"/>
      <w:sz w:val="20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CE01D1"/>
    <w:pPr>
      <w:spacing w:after="0" w:line="240" w:lineRule="auto"/>
      <w:jc w:val="center"/>
    </w:pPr>
    <w:rPr>
      <w:rFonts w:ascii="Arial Armenian" w:hAnsi="Arial Armenian"/>
      <w:sz w:val="20"/>
      <w:lang w:eastAsia="ru-RU"/>
    </w:rPr>
  </w:style>
  <w:style w:type="paragraph" w:styleId="NormalWeb">
    <w:name w:val="Normal (Web)"/>
    <w:basedOn w:val="Normal"/>
    <w:uiPriority w:val="99"/>
    <w:unhideWhenUsed/>
    <w:rsid w:val="0052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62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213F-4145-4BD7-A0DA-35C06D82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Avetyan</dc:creator>
  <cp:lastModifiedBy>User</cp:lastModifiedBy>
  <cp:revision>155</cp:revision>
  <cp:lastPrinted>2021-10-19T05:29:00Z</cp:lastPrinted>
  <dcterms:created xsi:type="dcterms:W3CDTF">2021-10-12T06:50:00Z</dcterms:created>
  <dcterms:modified xsi:type="dcterms:W3CDTF">2021-10-19T11:53:00Z</dcterms:modified>
</cp:coreProperties>
</file>